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D949B" w14:textId="31DAE171" w:rsidR="00600565" w:rsidRDefault="00600565" w:rsidP="00FE1B6A"/>
    <w:p w14:paraId="18938A17" w14:textId="25AD521E" w:rsidR="003D2412" w:rsidRPr="00AE0896" w:rsidRDefault="003D2412" w:rsidP="00AE0896">
      <w:pPr>
        <w:rPr>
          <w:rFonts w:asciiTheme="majorHAnsi" w:hAnsiTheme="majorHAnsi"/>
          <w:b/>
          <w:bCs/>
          <w:color w:val="9C6600" w:themeColor="accent1" w:themeShade="BF"/>
          <w:sz w:val="32"/>
          <w:szCs w:val="32"/>
        </w:rPr>
      </w:pPr>
      <w:r w:rsidRPr="00AE0896">
        <w:rPr>
          <w:rFonts w:asciiTheme="majorHAnsi" w:hAnsiTheme="majorHAnsi"/>
          <w:b/>
          <w:bCs/>
          <w:color w:val="002F6D" w:themeColor="text1"/>
          <w:sz w:val="32"/>
          <w:szCs w:val="32"/>
        </w:rPr>
        <w:t xml:space="preserve">Changes to the </w:t>
      </w:r>
      <w:r w:rsidR="003956D4">
        <w:rPr>
          <w:rFonts w:asciiTheme="majorHAnsi" w:hAnsiTheme="majorHAnsi"/>
          <w:b/>
          <w:bCs/>
          <w:color w:val="002F6D" w:themeColor="text1"/>
          <w:sz w:val="32"/>
          <w:szCs w:val="32"/>
        </w:rPr>
        <w:t>Guided Pathways</w:t>
      </w:r>
      <w:r w:rsidRPr="00AE0896">
        <w:rPr>
          <w:rFonts w:asciiTheme="majorHAnsi" w:hAnsiTheme="majorHAnsi"/>
          <w:b/>
          <w:bCs/>
          <w:color w:val="002F6D" w:themeColor="text1"/>
          <w:sz w:val="32"/>
          <w:szCs w:val="32"/>
        </w:rPr>
        <w:t xml:space="preserve"> Dashboard</w:t>
      </w:r>
    </w:p>
    <w:p w14:paraId="6F25540B" w14:textId="7A89A1E6" w:rsidR="003D2412" w:rsidRDefault="003956D4" w:rsidP="003D2412">
      <w:r>
        <w:t>November</w:t>
      </w:r>
      <w:r w:rsidR="001A4FCA">
        <w:t xml:space="preserve"> 2021</w:t>
      </w:r>
    </w:p>
    <w:p w14:paraId="061612F9" w14:textId="2CD82C71" w:rsidR="003D2412" w:rsidRDefault="003D2412" w:rsidP="00AE0896">
      <w:pPr>
        <w:spacing w:after="240"/>
      </w:pPr>
      <w:r w:rsidRPr="003D2412">
        <w:t xml:space="preserve">This document describes changes </w:t>
      </w:r>
      <w:r w:rsidR="008D6A86">
        <w:t xml:space="preserve">to metric definitions and new metrics added </w:t>
      </w:r>
      <w:r w:rsidR="00B156C0">
        <w:t>as part of the</w:t>
      </w:r>
      <w:r w:rsidRPr="003D2412">
        <w:t xml:space="preserve"> </w:t>
      </w:r>
      <w:r w:rsidR="008D6A86">
        <w:t>2020-2021</w:t>
      </w:r>
      <w:r w:rsidRPr="003D2412">
        <w:t xml:space="preserve"> release of the </w:t>
      </w:r>
      <w:r w:rsidR="003956D4">
        <w:t>Guided Pathways Dashboard</w:t>
      </w:r>
      <w:r w:rsidRPr="003D2412">
        <w:t xml:space="preserve"> (</w:t>
      </w:r>
      <w:r w:rsidR="003956D4">
        <w:t>GP</w:t>
      </w:r>
      <w:r w:rsidR="005121AF">
        <w:t>3.0</w:t>
      </w:r>
      <w:r w:rsidRPr="003D2412">
        <w:t>).</w:t>
      </w:r>
      <w:r w:rsidR="00CC5694">
        <w:t xml:space="preserve"> For any questions or concerns, please email </w:t>
      </w:r>
      <w:r w:rsidR="00CC5694" w:rsidRPr="00CC5694">
        <w:rPr>
          <w:u w:color="0066BA" w:themeColor="background2"/>
        </w:rPr>
        <w:t>launchboard@cccco.edu</w:t>
      </w:r>
      <w:r w:rsidR="00CC5694">
        <w:t>.</w:t>
      </w:r>
    </w:p>
    <w:sdt>
      <w:sdtPr>
        <w:rPr>
          <w:rFonts w:ascii="Source Sans Pro" w:eastAsia="Calibri" w:hAnsi="Source Sans Pro" w:cstheme="minorBidi"/>
          <w:b w:val="0"/>
          <w:color w:val="555759" w:themeColor="text2"/>
          <w:spacing w:val="4"/>
          <w:kern w:val="0"/>
          <w:sz w:val="24"/>
          <w:szCs w:val="24"/>
        </w:rPr>
        <w:id w:val="1689173143"/>
        <w:docPartObj>
          <w:docPartGallery w:val="Table of Contents"/>
          <w:docPartUnique/>
        </w:docPartObj>
      </w:sdtPr>
      <w:sdtEndPr>
        <w:rPr>
          <w:bCs/>
          <w:noProof/>
        </w:rPr>
      </w:sdtEndPr>
      <w:sdtContent>
        <w:p w14:paraId="57F0AF94" w14:textId="04BF1A0F" w:rsidR="00B10A5F" w:rsidRDefault="00B10A5F" w:rsidP="00A51FA5">
          <w:pPr>
            <w:pStyle w:val="TOCHeading"/>
            <w:spacing w:after="0"/>
          </w:pPr>
          <w:r>
            <w:t>Contents</w:t>
          </w:r>
        </w:p>
        <w:p w14:paraId="1ED1D49B" w14:textId="280B43B2" w:rsidR="00FA44A8" w:rsidRDefault="00B10A5F">
          <w:pPr>
            <w:pStyle w:val="TOC2"/>
            <w:rPr>
              <w:rFonts w:asciiTheme="minorHAnsi" w:eastAsiaTheme="minorEastAsia" w:hAnsiTheme="minorHAnsi"/>
              <w:noProof/>
              <w:color w:val="auto"/>
              <w:spacing w:val="0"/>
              <w:sz w:val="22"/>
              <w:szCs w:val="22"/>
            </w:rPr>
          </w:pPr>
          <w:r>
            <w:fldChar w:fldCharType="begin"/>
          </w:r>
          <w:r>
            <w:instrText xml:space="preserve"> TOC \o "1-3" \h \z \u </w:instrText>
          </w:r>
          <w:r>
            <w:fldChar w:fldCharType="separate"/>
          </w:r>
          <w:hyperlink w:anchor="_Toc87461826" w:history="1">
            <w:r w:rsidR="00FA44A8" w:rsidRPr="00C953AA">
              <w:rPr>
                <w:rStyle w:val="Hyperlink"/>
                <w:noProof/>
              </w:rPr>
              <w:t>New Metrics for Completed Transfer Level Math and English</w:t>
            </w:r>
            <w:r w:rsidR="00FA44A8">
              <w:rPr>
                <w:noProof/>
                <w:webHidden/>
              </w:rPr>
              <w:tab/>
            </w:r>
            <w:r w:rsidR="00FA44A8">
              <w:rPr>
                <w:noProof/>
                <w:webHidden/>
              </w:rPr>
              <w:fldChar w:fldCharType="begin"/>
            </w:r>
            <w:r w:rsidR="00FA44A8">
              <w:rPr>
                <w:noProof/>
                <w:webHidden/>
              </w:rPr>
              <w:instrText xml:space="preserve"> PAGEREF _Toc87461826 \h </w:instrText>
            </w:r>
            <w:r w:rsidR="00FA44A8">
              <w:rPr>
                <w:noProof/>
                <w:webHidden/>
              </w:rPr>
            </w:r>
            <w:r w:rsidR="00FA44A8">
              <w:rPr>
                <w:noProof/>
                <w:webHidden/>
              </w:rPr>
              <w:fldChar w:fldCharType="separate"/>
            </w:r>
            <w:r w:rsidR="00FA44A8">
              <w:rPr>
                <w:noProof/>
                <w:webHidden/>
              </w:rPr>
              <w:t>1</w:t>
            </w:r>
            <w:r w:rsidR="00FA44A8">
              <w:rPr>
                <w:noProof/>
                <w:webHidden/>
              </w:rPr>
              <w:fldChar w:fldCharType="end"/>
            </w:r>
          </w:hyperlink>
        </w:p>
        <w:p w14:paraId="72D602A4" w14:textId="39E27C34" w:rsidR="00FA44A8" w:rsidRDefault="00B03030">
          <w:pPr>
            <w:pStyle w:val="TOC2"/>
            <w:rPr>
              <w:rFonts w:asciiTheme="minorHAnsi" w:eastAsiaTheme="minorEastAsia" w:hAnsiTheme="minorHAnsi"/>
              <w:noProof/>
              <w:color w:val="auto"/>
              <w:spacing w:val="0"/>
              <w:sz w:val="22"/>
              <w:szCs w:val="22"/>
            </w:rPr>
          </w:pPr>
          <w:hyperlink w:anchor="_Toc87461827" w:history="1">
            <w:r w:rsidR="00FA44A8" w:rsidRPr="00C953AA">
              <w:rPr>
                <w:rStyle w:val="Hyperlink"/>
                <w:noProof/>
              </w:rPr>
              <w:t>First-Time Cohort Definition</w:t>
            </w:r>
            <w:r w:rsidR="00FA44A8">
              <w:rPr>
                <w:noProof/>
                <w:webHidden/>
              </w:rPr>
              <w:tab/>
            </w:r>
            <w:r w:rsidR="00FA44A8">
              <w:rPr>
                <w:noProof/>
                <w:webHidden/>
              </w:rPr>
              <w:fldChar w:fldCharType="begin"/>
            </w:r>
            <w:r w:rsidR="00FA44A8">
              <w:rPr>
                <w:noProof/>
                <w:webHidden/>
              </w:rPr>
              <w:instrText xml:space="preserve"> PAGEREF _Toc87461827 \h </w:instrText>
            </w:r>
            <w:r w:rsidR="00FA44A8">
              <w:rPr>
                <w:noProof/>
                <w:webHidden/>
              </w:rPr>
            </w:r>
            <w:r w:rsidR="00FA44A8">
              <w:rPr>
                <w:noProof/>
                <w:webHidden/>
              </w:rPr>
              <w:fldChar w:fldCharType="separate"/>
            </w:r>
            <w:r w:rsidR="00FA44A8">
              <w:rPr>
                <w:noProof/>
                <w:webHidden/>
              </w:rPr>
              <w:t>2</w:t>
            </w:r>
            <w:r w:rsidR="00FA44A8">
              <w:rPr>
                <w:noProof/>
                <w:webHidden/>
              </w:rPr>
              <w:fldChar w:fldCharType="end"/>
            </w:r>
          </w:hyperlink>
        </w:p>
        <w:p w14:paraId="17304099" w14:textId="5033CBA6" w:rsidR="00FA44A8" w:rsidRDefault="00B03030">
          <w:pPr>
            <w:pStyle w:val="TOC2"/>
            <w:rPr>
              <w:rFonts w:asciiTheme="minorHAnsi" w:eastAsiaTheme="minorEastAsia" w:hAnsiTheme="minorHAnsi"/>
              <w:noProof/>
              <w:color w:val="auto"/>
              <w:spacing w:val="0"/>
              <w:sz w:val="22"/>
              <w:szCs w:val="22"/>
            </w:rPr>
          </w:pPr>
          <w:hyperlink w:anchor="_Toc87461828" w:history="1">
            <w:r w:rsidR="00FA44A8" w:rsidRPr="00C953AA">
              <w:rPr>
                <w:rStyle w:val="Hyperlink"/>
                <w:noProof/>
              </w:rPr>
              <w:t>Gender</w:t>
            </w:r>
            <w:r w:rsidR="00FA44A8">
              <w:rPr>
                <w:noProof/>
                <w:webHidden/>
              </w:rPr>
              <w:tab/>
            </w:r>
            <w:r w:rsidR="00FA44A8">
              <w:rPr>
                <w:noProof/>
                <w:webHidden/>
              </w:rPr>
              <w:fldChar w:fldCharType="begin"/>
            </w:r>
            <w:r w:rsidR="00FA44A8">
              <w:rPr>
                <w:noProof/>
                <w:webHidden/>
              </w:rPr>
              <w:instrText xml:space="preserve"> PAGEREF _Toc87461828 \h </w:instrText>
            </w:r>
            <w:r w:rsidR="00FA44A8">
              <w:rPr>
                <w:noProof/>
                <w:webHidden/>
              </w:rPr>
            </w:r>
            <w:r w:rsidR="00FA44A8">
              <w:rPr>
                <w:noProof/>
                <w:webHidden/>
              </w:rPr>
              <w:fldChar w:fldCharType="separate"/>
            </w:r>
            <w:r w:rsidR="00FA44A8">
              <w:rPr>
                <w:noProof/>
                <w:webHidden/>
              </w:rPr>
              <w:t>3</w:t>
            </w:r>
            <w:r w:rsidR="00FA44A8">
              <w:rPr>
                <w:noProof/>
                <w:webHidden/>
              </w:rPr>
              <w:fldChar w:fldCharType="end"/>
            </w:r>
          </w:hyperlink>
        </w:p>
        <w:p w14:paraId="312ADA2A" w14:textId="7BCADFFA" w:rsidR="00FA44A8" w:rsidRDefault="00B03030">
          <w:pPr>
            <w:pStyle w:val="TOC2"/>
            <w:rPr>
              <w:rFonts w:asciiTheme="minorHAnsi" w:eastAsiaTheme="minorEastAsia" w:hAnsiTheme="minorHAnsi"/>
              <w:noProof/>
              <w:color w:val="auto"/>
              <w:spacing w:val="0"/>
              <w:sz w:val="22"/>
              <w:szCs w:val="22"/>
            </w:rPr>
          </w:pPr>
          <w:hyperlink w:anchor="_Toc87461829" w:history="1">
            <w:r w:rsidR="00FA44A8" w:rsidRPr="00C953AA">
              <w:rPr>
                <w:rStyle w:val="Hyperlink"/>
                <w:noProof/>
              </w:rPr>
              <w:t>Age Groups</w:t>
            </w:r>
            <w:r w:rsidR="00FA44A8">
              <w:rPr>
                <w:noProof/>
                <w:webHidden/>
              </w:rPr>
              <w:tab/>
            </w:r>
            <w:r w:rsidR="00FA44A8">
              <w:rPr>
                <w:noProof/>
                <w:webHidden/>
              </w:rPr>
              <w:fldChar w:fldCharType="begin"/>
            </w:r>
            <w:r w:rsidR="00FA44A8">
              <w:rPr>
                <w:noProof/>
                <w:webHidden/>
              </w:rPr>
              <w:instrText xml:space="preserve"> PAGEREF _Toc87461829 \h </w:instrText>
            </w:r>
            <w:r w:rsidR="00FA44A8">
              <w:rPr>
                <w:noProof/>
                <w:webHidden/>
              </w:rPr>
            </w:r>
            <w:r w:rsidR="00FA44A8">
              <w:rPr>
                <w:noProof/>
                <w:webHidden/>
              </w:rPr>
              <w:fldChar w:fldCharType="separate"/>
            </w:r>
            <w:r w:rsidR="00FA44A8">
              <w:rPr>
                <w:noProof/>
                <w:webHidden/>
              </w:rPr>
              <w:t>3</w:t>
            </w:r>
            <w:r w:rsidR="00FA44A8">
              <w:rPr>
                <w:noProof/>
                <w:webHidden/>
              </w:rPr>
              <w:fldChar w:fldCharType="end"/>
            </w:r>
          </w:hyperlink>
        </w:p>
        <w:p w14:paraId="54005A05" w14:textId="680D8667" w:rsidR="00FA44A8" w:rsidRDefault="00B03030">
          <w:pPr>
            <w:pStyle w:val="TOC2"/>
            <w:rPr>
              <w:rFonts w:asciiTheme="minorHAnsi" w:eastAsiaTheme="minorEastAsia" w:hAnsiTheme="minorHAnsi"/>
              <w:noProof/>
              <w:color w:val="auto"/>
              <w:spacing w:val="0"/>
              <w:sz w:val="22"/>
              <w:szCs w:val="22"/>
            </w:rPr>
          </w:pPr>
          <w:hyperlink w:anchor="_Toc87461830" w:history="1">
            <w:r w:rsidR="00FA44A8" w:rsidRPr="00C953AA">
              <w:rPr>
                <w:rStyle w:val="Hyperlink"/>
                <w:noProof/>
              </w:rPr>
              <w:t>Course Success Rate</w:t>
            </w:r>
            <w:r w:rsidR="00FA44A8">
              <w:rPr>
                <w:noProof/>
                <w:webHidden/>
              </w:rPr>
              <w:tab/>
            </w:r>
            <w:r w:rsidR="00FA44A8">
              <w:rPr>
                <w:noProof/>
                <w:webHidden/>
              </w:rPr>
              <w:fldChar w:fldCharType="begin"/>
            </w:r>
            <w:r w:rsidR="00FA44A8">
              <w:rPr>
                <w:noProof/>
                <w:webHidden/>
              </w:rPr>
              <w:instrText xml:space="preserve"> PAGEREF _Toc87461830 \h </w:instrText>
            </w:r>
            <w:r w:rsidR="00FA44A8">
              <w:rPr>
                <w:noProof/>
                <w:webHidden/>
              </w:rPr>
            </w:r>
            <w:r w:rsidR="00FA44A8">
              <w:rPr>
                <w:noProof/>
                <w:webHidden/>
              </w:rPr>
              <w:fldChar w:fldCharType="separate"/>
            </w:r>
            <w:r w:rsidR="00FA44A8">
              <w:rPr>
                <w:noProof/>
                <w:webHidden/>
              </w:rPr>
              <w:t>3</w:t>
            </w:r>
            <w:r w:rsidR="00FA44A8">
              <w:rPr>
                <w:noProof/>
                <w:webHidden/>
              </w:rPr>
              <w:fldChar w:fldCharType="end"/>
            </w:r>
          </w:hyperlink>
        </w:p>
        <w:p w14:paraId="2C8A46B6" w14:textId="5464DBF6" w:rsidR="00FA44A8" w:rsidRDefault="00B03030">
          <w:pPr>
            <w:pStyle w:val="TOC2"/>
            <w:rPr>
              <w:rFonts w:asciiTheme="minorHAnsi" w:eastAsiaTheme="minorEastAsia" w:hAnsiTheme="minorHAnsi"/>
              <w:noProof/>
              <w:color w:val="auto"/>
              <w:spacing w:val="0"/>
              <w:sz w:val="22"/>
              <w:szCs w:val="22"/>
            </w:rPr>
          </w:pPr>
          <w:hyperlink w:anchor="_Toc87461831" w:history="1">
            <w:r w:rsidR="00FA44A8" w:rsidRPr="00C953AA">
              <w:rPr>
                <w:rStyle w:val="Hyperlink"/>
                <w:noProof/>
              </w:rPr>
              <w:t>Completed Transfer Level Math and English (aligned with SCFF)</w:t>
            </w:r>
            <w:r w:rsidR="00FA44A8">
              <w:rPr>
                <w:noProof/>
                <w:webHidden/>
              </w:rPr>
              <w:tab/>
            </w:r>
            <w:r w:rsidR="00FA44A8">
              <w:rPr>
                <w:noProof/>
                <w:webHidden/>
              </w:rPr>
              <w:fldChar w:fldCharType="begin"/>
            </w:r>
            <w:r w:rsidR="00FA44A8">
              <w:rPr>
                <w:noProof/>
                <w:webHidden/>
              </w:rPr>
              <w:instrText xml:space="preserve"> PAGEREF _Toc87461831 \h </w:instrText>
            </w:r>
            <w:r w:rsidR="00FA44A8">
              <w:rPr>
                <w:noProof/>
                <w:webHidden/>
              </w:rPr>
            </w:r>
            <w:r w:rsidR="00FA44A8">
              <w:rPr>
                <w:noProof/>
                <w:webHidden/>
              </w:rPr>
              <w:fldChar w:fldCharType="separate"/>
            </w:r>
            <w:r w:rsidR="00FA44A8">
              <w:rPr>
                <w:noProof/>
                <w:webHidden/>
              </w:rPr>
              <w:t>3</w:t>
            </w:r>
            <w:r w:rsidR="00FA44A8">
              <w:rPr>
                <w:noProof/>
                <w:webHidden/>
              </w:rPr>
              <w:fldChar w:fldCharType="end"/>
            </w:r>
          </w:hyperlink>
        </w:p>
        <w:p w14:paraId="4FC7863D" w14:textId="07EECAE5" w:rsidR="00FA44A8" w:rsidRDefault="00B03030">
          <w:pPr>
            <w:pStyle w:val="TOC2"/>
            <w:rPr>
              <w:rFonts w:asciiTheme="minorHAnsi" w:eastAsiaTheme="minorEastAsia" w:hAnsiTheme="minorHAnsi"/>
              <w:noProof/>
              <w:color w:val="auto"/>
              <w:spacing w:val="0"/>
              <w:sz w:val="22"/>
              <w:szCs w:val="22"/>
            </w:rPr>
          </w:pPr>
          <w:hyperlink w:anchor="_Toc87461832" w:history="1">
            <w:r w:rsidR="00FA44A8" w:rsidRPr="00C953AA">
              <w:rPr>
                <w:rStyle w:val="Hyperlink"/>
                <w:noProof/>
              </w:rPr>
              <w:t>Completed Transfer Level Math</w:t>
            </w:r>
            <w:r w:rsidR="00FA44A8">
              <w:rPr>
                <w:noProof/>
                <w:webHidden/>
              </w:rPr>
              <w:tab/>
            </w:r>
            <w:r w:rsidR="00FA44A8">
              <w:rPr>
                <w:noProof/>
                <w:webHidden/>
              </w:rPr>
              <w:fldChar w:fldCharType="begin"/>
            </w:r>
            <w:r w:rsidR="00FA44A8">
              <w:rPr>
                <w:noProof/>
                <w:webHidden/>
              </w:rPr>
              <w:instrText xml:space="preserve"> PAGEREF _Toc87461832 \h </w:instrText>
            </w:r>
            <w:r w:rsidR="00FA44A8">
              <w:rPr>
                <w:noProof/>
                <w:webHidden/>
              </w:rPr>
            </w:r>
            <w:r w:rsidR="00FA44A8">
              <w:rPr>
                <w:noProof/>
                <w:webHidden/>
              </w:rPr>
              <w:fldChar w:fldCharType="separate"/>
            </w:r>
            <w:r w:rsidR="00FA44A8">
              <w:rPr>
                <w:noProof/>
                <w:webHidden/>
              </w:rPr>
              <w:t>3</w:t>
            </w:r>
            <w:r w:rsidR="00FA44A8">
              <w:rPr>
                <w:noProof/>
                <w:webHidden/>
              </w:rPr>
              <w:fldChar w:fldCharType="end"/>
            </w:r>
          </w:hyperlink>
        </w:p>
        <w:p w14:paraId="3475AEFF" w14:textId="40D1D8C5" w:rsidR="00FA44A8" w:rsidRDefault="00B03030">
          <w:pPr>
            <w:pStyle w:val="TOC2"/>
            <w:rPr>
              <w:rFonts w:asciiTheme="minorHAnsi" w:eastAsiaTheme="minorEastAsia" w:hAnsiTheme="minorHAnsi"/>
              <w:noProof/>
              <w:color w:val="auto"/>
              <w:spacing w:val="0"/>
              <w:sz w:val="22"/>
              <w:szCs w:val="22"/>
            </w:rPr>
          </w:pPr>
          <w:hyperlink w:anchor="_Toc87461833" w:history="1">
            <w:r w:rsidR="00FA44A8" w:rsidRPr="00C953AA">
              <w:rPr>
                <w:rStyle w:val="Hyperlink"/>
                <w:noProof/>
              </w:rPr>
              <w:t>Completed Transfer Level English</w:t>
            </w:r>
            <w:r w:rsidR="00FA44A8">
              <w:rPr>
                <w:noProof/>
                <w:webHidden/>
              </w:rPr>
              <w:tab/>
            </w:r>
            <w:r w:rsidR="00FA44A8">
              <w:rPr>
                <w:noProof/>
                <w:webHidden/>
              </w:rPr>
              <w:fldChar w:fldCharType="begin"/>
            </w:r>
            <w:r w:rsidR="00FA44A8">
              <w:rPr>
                <w:noProof/>
                <w:webHidden/>
              </w:rPr>
              <w:instrText xml:space="preserve"> PAGEREF _Toc87461833 \h </w:instrText>
            </w:r>
            <w:r w:rsidR="00FA44A8">
              <w:rPr>
                <w:noProof/>
                <w:webHidden/>
              </w:rPr>
            </w:r>
            <w:r w:rsidR="00FA44A8">
              <w:rPr>
                <w:noProof/>
                <w:webHidden/>
              </w:rPr>
              <w:fldChar w:fldCharType="separate"/>
            </w:r>
            <w:r w:rsidR="00FA44A8">
              <w:rPr>
                <w:noProof/>
                <w:webHidden/>
              </w:rPr>
              <w:t>4</w:t>
            </w:r>
            <w:r w:rsidR="00FA44A8">
              <w:rPr>
                <w:noProof/>
                <w:webHidden/>
              </w:rPr>
              <w:fldChar w:fldCharType="end"/>
            </w:r>
          </w:hyperlink>
        </w:p>
        <w:p w14:paraId="21C74880" w14:textId="66386F5E" w:rsidR="00FA44A8" w:rsidRDefault="00B03030">
          <w:pPr>
            <w:pStyle w:val="TOC2"/>
            <w:rPr>
              <w:rFonts w:asciiTheme="minorHAnsi" w:eastAsiaTheme="minorEastAsia" w:hAnsiTheme="minorHAnsi"/>
              <w:noProof/>
              <w:color w:val="auto"/>
              <w:spacing w:val="0"/>
              <w:sz w:val="22"/>
              <w:szCs w:val="22"/>
            </w:rPr>
          </w:pPr>
          <w:hyperlink w:anchor="_Toc87461834" w:history="1">
            <w:r w:rsidR="00FA44A8" w:rsidRPr="00C953AA">
              <w:rPr>
                <w:rStyle w:val="Hyperlink"/>
                <w:noProof/>
              </w:rPr>
              <w:t>Retained Fall to Spring</w:t>
            </w:r>
            <w:r w:rsidR="00FA44A8">
              <w:rPr>
                <w:noProof/>
                <w:webHidden/>
              </w:rPr>
              <w:tab/>
            </w:r>
            <w:r w:rsidR="00FA44A8">
              <w:rPr>
                <w:noProof/>
                <w:webHidden/>
              </w:rPr>
              <w:fldChar w:fldCharType="begin"/>
            </w:r>
            <w:r w:rsidR="00FA44A8">
              <w:rPr>
                <w:noProof/>
                <w:webHidden/>
              </w:rPr>
              <w:instrText xml:space="preserve"> PAGEREF _Toc87461834 \h </w:instrText>
            </w:r>
            <w:r w:rsidR="00FA44A8">
              <w:rPr>
                <w:noProof/>
                <w:webHidden/>
              </w:rPr>
            </w:r>
            <w:r w:rsidR="00FA44A8">
              <w:rPr>
                <w:noProof/>
                <w:webHidden/>
              </w:rPr>
              <w:fldChar w:fldCharType="separate"/>
            </w:r>
            <w:r w:rsidR="00FA44A8">
              <w:rPr>
                <w:noProof/>
                <w:webHidden/>
              </w:rPr>
              <w:t>4</w:t>
            </w:r>
            <w:r w:rsidR="00FA44A8">
              <w:rPr>
                <w:noProof/>
                <w:webHidden/>
              </w:rPr>
              <w:fldChar w:fldCharType="end"/>
            </w:r>
          </w:hyperlink>
        </w:p>
        <w:p w14:paraId="7535247F" w14:textId="2FF5E4A7" w:rsidR="00FA44A8" w:rsidRDefault="00B03030">
          <w:pPr>
            <w:pStyle w:val="TOC2"/>
            <w:rPr>
              <w:rFonts w:asciiTheme="minorHAnsi" w:eastAsiaTheme="minorEastAsia" w:hAnsiTheme="minorHAnsi"/>
              <w:noProof/>
              <w:color w:val="auto"/>
              <w:spacing w:val="0"/>
              <w:sz w:val="22"/>
              <w:szCs w:val="22"/>
            </w:rPr>
          </w:pPr>
          <w:hyperlink w:anchor="_Toc87461835" w:history="1">
            <w:r w:rsidR="00FA44A8" w:rsidRPr="00C953AA">
              <w:rPr>
                <w:rStyle w:val="Hyperlink"/>
                <w:noProof/>
              </w:rPr>
              <w:t>Successfully Completed Unit Thresholds in the Fall</w:t>
            </w:r>
            <w:r w:rsidR="00FA44A8">
              <w:rPr>
                <w:noProof/>
                <w:webHidden/>
              </w:rPr>
              <w:tab/>
            </w:r>
            <w:r w:rsidR="00FA44A8">
              <w:rPr>
                <w:noProof/>
                <w:webHidden/>
              </w:rPr>
              <w:fldChar w:fldCharType="begin"/>
            </w:r>
            <w:r w:rsidR="00FA44A8">
              <w:rPr>
                <w:noProof/>
                <w:webHidden/>
              </w:rPr>
              <w:instrText xml:space="preserve"> PAGEREF _Toc87461835 \h </w:instrText>
            </w:r>
            <w:r w:rsidR="00FA44A8">
              <w:rPr>
                <w:noProof/>
                <w:webHidden/>
              </w:rPr>
            </w:r>
            <w:r w:rsidR="00FA44A8">
              <w:rPr>
                <w:noProof/>
                <w:webHidden/>
              </w:rPr>
              <w:fldChar w:fldCharType="separate"/>
            </w:r>
            <w:r w:rsidR="00FA44A8">
              <w:rPr>
                <w:noProof/>
                <w:webHidden/>
              </w:rPr>
              <w:t>4</w:t>
            </w:r>
            <w:r w:rsidR="00FA44A8">
              <w:rPr>
                <w:noProof/>
                <w:webHidden/>
              </w:rPr>
              <w:fldChar w:fldCharType="end"/>
            </w:r>
          </w:hyperlink>
        </w:p>
        <w:p w14:paraId="12C61FB7" w14:textId="38ED6786" w:rsidR="00FA44A8" w:rsidRDefault="00B03030">
          <w:pPr>
            <w:pStyle w:val="TOC2"/>
            <w:rPr>
              <w:rFonts w:asciiTheme="minorHAnsi" w:eastAsiaTheme="minorEastAsia" w:hAnsiTheme="minorHAnsi"/>
              <w:noProof/>
              <w:color w:val="auto"/>
              <w:spacing w:val="0"/>
              <w:sz w:val="22"/>
              <w:szCs w:val="22"/>
            </w:rPr>
          </w:pPr>
          <w:hyperlink w:anchor="_Toc87461836" w:history="1">
            <w:r w:rsidR="00FA44A8" w:rsidRPr="00C953AA">
              <w:rPr>
                <w:rStyle w:val="Hyperlink"/>
                <w:noProof/>
              </w:rPr>
              <w:t>Successfully Completed Unit Thresholds in the Selected Year</w:t>
            </w:r>
            <w:r w:rsidR="00FA44A8">
              <w:rPr>
                <w:noProof/>
                <w:webHidden/>
              </w:rPr>
              <w:tab/>
            </w:r>
            <w:r w:rsidR="00FA44A8">
              <w:rPr>
                <w:noProof/>
                <w:webHidden/>
              </w:rPr>
              <w:fldChar w:fldCharType="begin"/>
            </w:r>
            <w:r w:rsidR="00FA44A8">
              <w:rPr>
                <w:noProof/>
                <w:webHidden/>
              </w:rPr>
              <w:instrText xml:space="preserve"> PAGEREF _Toc87461836 \h </w:instrText>
            </w:r>
            <w:r w:rsidR="00FA44A8">
              <w:rPr>
                <w:noProof/>
                <w:webHidden/>
              </w:rPr>
            </w:r>
            <w:r w:rsidR="00FA44A8">
              <w:rPr>
                <w:noProof/>
                <w:webHidden/>
              </w:rPr>
              <w:fldChar w:fldCharType="separate"/>
            </w:r>
            <w:r w:rsidR="00FA44A8">
              <w:rPr>
                <w:noProof/>
                <w:webHidden/>
              </w:rPr>
              <w:t>5</w:t>
            </w:r>
            <w:r w:rsidR="00FA44A8">
              <w:rPr>
                <w:noProof/>
                <w:webHidden/>
              </w:rPr>
              <w:fldChar w:fldCharType="end"/>
            </w:r>
          </w:hyperlink>
        </w:p>
        <w:p w14:paraId="478CB56E" w14:textId="55BB6175" w:rsidR="00B10A5F" w:rsidRDefault="00B10A5F">
          <w:r>
            <w:rPr>
              <w:b/>
              <w:bCs/>
              <w:noProof/>
            </w:rPr>
            <w:fldChar w:fldCharType="end"/>
          </w:r>
        </w:p>
      </w:sdtContent>
    </w:sdt>
    <w:p w14:paraId="06FBBDE1" w14:textId="77777777" w:rsidR="0027769B" w:rsidRDefault="0027769B" w:rsidP="0027769B">
      <w:pPr>
        <w:pStyle w:val="Heading2"/>
      </w:pPr>
      <w:bookmarkStart w:id="0" w:name="_Toc87461826"/>
      <w:r>
        <w:t>New Metrics for Completed Transfer Level Math and English</w:t>
      </w:r>
      <w:bookmarkEnd w:id="0"/>
    </w:p>
    <w:p w14:paraId="569204FA" w14:textId="6A98CFE9" w:rsidR="004C7CCD" w:rsidRDefault="002C6FBF" w:rsidP="002C6FBF">
      <w:pPr>
        <w:spacing w:after="120"/>
      </w:pPr>
      <w:r>
        <w:t>A new</w:t>
      </w:r>
      <w:r w:rsidR="0027769B">
        <w:t xml:space="preserve"> section has been added entitled “Metrics Under Development” with new metrics for an expanded definition </w:t>
      </w:r>
      <w:r w:rsidR="000F1B3F">
        <w:t xml:space="preserve">for </w:t>
      </w:r>
      <w:r w:rsidR="0027769B">
        <w:t>completion of transfer level math and English. The same metric</w:t>
      </w:r>
      <w:r w:rsidR="000F1B3F">
        <w:t>, using a methodology</w:t>
      </w:r>
      <w:r w:rsidR="0027769B">
        <w:t xml:space="preserve"> that aligns with the Student Centered Funding Formula (SCFF)</w:t>
      </w:r>
      <w:r w:rsidR="000F1B3F">
        <w:t>,</w:t>
      </w:r>
      <w:r w:rsidR="0027769B">
        <w:t xml:space="preserve"> is included in the Learning Progress section. </w:t>
      </w:r>
    </w:p>
    <w:p w14:paraId="02B01D5C" w14:textId="02594E96" w:rsidR="0027769B" w:rsidRDefault="004C7CCD" w:rsidP="0027769B">
      <w:pPr>
        <w:spacing w:after="0"/>
      </w:pPr>
      <w:r>
        <w:t xml:space="preserve">The </w:t>
      </w:r>
      <w:r w:rsidR="0027769B">
        <w:t>new</w:t>
      </w:r>
      <w:r w:rsidR="00AF10B3">
        <w:t xml:space="preserve"> or expanded definition of</w:t>
      </w:r>
      <w:r w:rsidR="0027769B">
        <w:t xml:space="preserve"> </w:t>
      </w:r>
      <w:r>
        <w:t xml:space="preserve">Completed Transfer Level Math and English </w:t>
      </w:r>
      <w:r w:rsidR="0027769B">
        <w:t>metric</w:t>
      </w:r>
      <w:r w:rsidR="00AF10B3">
        <w:t>s</w:t>
      </w:r>
      <w:r>
        <w:t xml:space="preserve"> differ in several</w:t>
      </w:r>
      <w:r w:rsidR="0027769B">
        <w:t xml:space="preserve"> ways:</w:t>
      </w:r>
    </w:p>
    <w:p w14:paraId="396303E0" w14:textId="0AC793F3" w:rsidR="0027769B" w:rsidRDefault="004C7CCD" w:rsidP="0027769B">
      <w:pPr>
        <w:pStyle w:val="ListParagraph"/>
        <w:numPr>
          <w:ilvl w:val="0"/>
          <w:numId w:val="10"/>
        </w:numPr>
      </w:pPr>
      <w:r w:rsidRPr="003109EB">
        <w:rPr>
          <w:i/>
          <w:iCs/>
        </w:rPr>
        <w:t xml:space="preserve">Students </w:t>
      </w:r>
      <w:r>
        <w:rPr>
          <w:i/>
          <w:iCs/>
        </w:rPr>
        <w:t xml:space="preserve">who do not start in fall </w:t>
      </w:r>
      <w:r w:rsidRPr="003109EB">
        <w:rPr>
          <w:i/>
          <w:iCs/>
        </w:rPr>
        <w:t>have more time to attain the metric</w:t>
      </w:r>
      <w:r>
        <w:t xml:space="preserve">: </w:t>
      </w:r>
      <w:r w:rsidR="00AF10B3">
        <w:t>Since the Guided Pathways cohort definition requires that students start in fall, then there is no difference between the metric aligned with SCFF and the new expanded view in terms of this difference in the definition.</w:t>
      </w:r>
      <w:r w:rsidR="002C693F">
        <w:t xml:space="preserve"> </w:t>
      </w:r>
    </w:p>
    <w:p w14:paraId="48A50A44" w14:textId="1B207941" w:rsidR="004C7CCD" w:rsidRDefault="004C7CCD" w:rsidP="003109EB">
      <w:pPr>
        <w:pStyle w:val="ListParagraph"/>
        <w:numPr>
          <w:ilvl w:val="0"/>
          <w:numId w:val="10"/>
        </w:numPr>
      </w:pPr>
      <w:r w:rsidRPr="003109EB">
        <w:rPr>
          <w:i/>
          <w:iCs/>
        </w:rPr>
        <w:t xml:space="preserve">ESL students have more time to attain the metric: </w:t>
      </w:r>
      <w:r w:rsidR="00F14F4D">
        <w:t xml:space="preserve">Students </w:t>
      </w:r>
      <w:r>
        <w:t>who enroll in</w:t>
      </w:r>
      <w:r w:rsidR="00F14F4D">
        <w:t xml:space="preserve"> a credit ESL </w:t>
      </w:r>
      <w:r w:rsidR="00EA21F6">
        <w:t>course</w:t>
      </w:r>
      <w:r w:rsidR="00F14F4D">
        <w:t xml:space="preserve"> </w:t>
      </w:r>
      <w:r>
        <w:t xml:space="preserve">at any point </w:t>
      </w:r>
      <w:r w:rsidR="00F14F4D">
        <w:t xml:space="preserve">within </w:t>
      </w:r>
      <w:r>
        <w:t xml:space="preserve">their first </w:t>
      </w:r>
      <w:r w:rsidR="00F14F4D">
        <w:t xml:space="preserve">three years in the district will have three years to attain </w:t>
      </w:r>
      <w:r w:rsidR="00F14F4D" w:rsidRPr="00B55DF4">
        <w:t>the metric outcome</w:t>
      </w:r>
      <w:r w:rsidR="00F14F4D">
        <w:t>.</w:t>
      </w:r>
      <w:r w:rsidR="00F14F4D" w:rsidRPr="00F14F4D">
        <w:t xml:space="preserve"> </w:t>
      </w:r>
      <w:r w:rsidR="00EA21F6">
        <w:t>For example, a student who first enrolled in Fall 2016 and took a</w:t>
      </w:r>
      <w:r w:rsidR="007872E2">
        <w:t xml:space="preserve"> credit </w:t>
      </w:r>
      <w:r w:rsidR="00EA21F6">
        <w:t xml:space="preserve">ESL course </w:t>
      </w:r>
      <w:r w:rsidR="007872E2">
        <w:t>anytime between summer 2016 and Spring 2019</w:t>
      </w:r>
      <w:r w:rsidR="00EA21F6">
        <w:t xml:space="preserve"> will have until Spring 2019 to finish requirements.</w:t>
      </w:r>
    </w:p>
    <w:p w14:paraId="287E17BB" w14:textId="701EE060" w:rsidR="00F14F4D" w:rsidRDefault="00EA21F6" w:rsidP="003109EB">
      <w:pPr>
        <w:pStyle w:val="ListParagraph"/>
        <w:numPr>
          <w:ilvl w:val="0"/>
          <w:numId w:val="10"/>
        </w:numPr>
      </w:pPr>
      <w:r w:rsidRPr="003109EB">
        <w:rPr>
          <w:i/>
          <w:iCs/>
        </w:rPr>
        <w:t>Students who start in the summer have more time to attain the metric</w:t>
      </w:r>
      <w:r>
        <w:rPr>
          <w:i/>
          <w:iCs/>
        </w:rPr>
        <w:t>:</w:t>
      </w:r>
      <w:r w:rsidRPr="003109EB">
        <w:rPr>
          <w:i/>
          <w:iCs/>
        </w:rPr>
        <w:t xml:space="preserve"> </w:t>
      </w:r>
      <w:r>
        <w:t xml:space="preserve">Students who take summer courses before their first year of college will have until the end of the time period (one full academic year for non-ESL students and three full academic </w:t>
      </w:r>
      <w:r>
        <w:lastRenderedPageBreak/>
        <w:t xml:space="preserve">years for ESL students) </w:t>
      </w:r>
      <w:r w:rsidR="00F14F4D" w:rsidRPr="00F14F4D">
        <w:t xml:space="preserve">to complete transfer level math and English. </w:t>
      </w:r>
      <w:r>
        <w:t>For example, a student who graduated from high school in Spring 2018 and took courses during Summer 2018 before enrolling part-time in Fall 2018 would have until Spring 2019 to finish requirements.</w:t>
      </w:r>
    </w:p>
    <w:p w14:paraId="4CBD84AE" w14:textId="39EFDA3F" w:rsidR="00F14F4D" w:rsidRDefault="00EA21F6" w:rsidP="00B7340F">
      <w:pPr>
        <w:pStyle w:val="ListParagraph"/>
        <w:numPr>
          <w:ilvl w:val="0"/>
          <w:numId w:val="10"/>
        </w:numPr>
      </w:pPr>
      <w:r>
        <w:rPr>
          <w:i/>
          <w:iCs/>
        </w:rPr>
        <w:t xml:space="preserve">Students who attain the metric using new data points will be included: </w:t>
      </w:r>
      <w:r>
        <w:t xml:space="preserve">Students will be included in the metric if they </w:t>
      </w:r>
      <w:r w:rsidR="0027769B">
        <w:t>successful</w:t>
      </w:r>
      <w:r w:rsidR="000F1B3F">
        <w:t>ly</w:t>
      </w:r>
      <w:r w:rsidR="0027769B">
        <w:t xml:space="preserve"> complet</w:t>
      </w:r>
      <w:r>
        <w:t>e</w:t>
      </w:r>
      <w:r w:rsidR="0027769B">
        <w:t xml:space="preserve"> courses </w:t>
      </w:r>
      <w:r w:rsidR="000F1B3F">
        <w:t>that</w:t>
      </w:r>
      <w:r w:rsidR="000F1B3F" w:rsidRPr="00055E12">
        <w:t xml:space="preserve"> </w:t>
      </w:r>
      <w:r w:rsidR="0027769B" w:rsidRPr="00055E12">
        <w:t>fulfil</w:t>
      </w:r>
      <w:r w:rsidR="007D5CD6">
        <w:t>l</w:t>
      </w:r>
      <w:r w:rsidR="0027769B" w:rsidRPr="00055E12">
        <w:t xml:space="preserve"> general education requirements for English composition and for math</w:t>
      </w:r>
      <w:r>
        <w:t>/</w:t>
      </w:r>
      <w:r w:rsidR="0027769B" w:rsidRPr="00055E12">
        <w:t>quantitative reasoning</w:t>
      </w:r>
      <w:r w:rsidR="000F1B3F">
        <w:t xml:space="preserve">. These students will be identified </w:t>
      </w:r>
      <w:r w:rsidR="0027769B">
        <w:t xml:space="preserve">using </w:t>
      </w:r>
      <w:r w:rsidR="000F1B3F">
        <w:t xml:space="preserve">the </w:t>
      </w:r>
      <w:r w:rsidR="0027769B">
        <w:t xml:space="preserve">new data element </w:t>
      </w:r>
      <w:hyperlink r:id="rId8" w:history="1">
        <w:r w:rsidR="0027769B" w:rsidRPr="00B55DF4">
          <w:rPr>
            <w:rStyle w:val="Hyperlink"/>
            <w:rFonts w:ascii="Source Sans Pro" w:hAnsi="Source Sans Pro"/>
          </w:rPr>
          <w:t>CB25 Course General Education Status</w:t>
        </w:r>
      </w:hyperlink>
      <w:r>
        <w:rPr>
          <w:rStyle w:val="Hyperlink"/>
          <w:rFonts w:ascii="Source Sans Pro" w:hAnsi="Source Sans Pro"/>
        </w:rPr>
        <w:t>,</w:t>
      </w:r>
      <w:r w:rsidR="0027769B">
        <w:t xml:space="preserve"> </w:t>
      </w:r>
      <w:r w:rsidR="000F1B3F">
        <w:t xml:space="preserve">excluding courses that are flagged as support courses using the new data element </w:t>
      </w:r>
      <w:hyperlink r:id="rId9" w:history="1">
        <w:r w:rsidR="000F1B3F" w:rsidRPr="00B55DF4">
          <w:rPr>
            <w:rStyle w:val="Hyperlink"/>
            <w:rFonts w:ascii="Source Sans Pro" w:hAnsi="Source Sans Pro"/>
          </w:rPr>
          <w:t>CB26 Course Support Course Status</w:t>
        </w:r>
      </w:hyperlink>
      <w:r w:rsidR="002C693F">
        <w:t>.</w:t>
      </w:r>
    </w:p>
    <w:p w14:paraId="1CC5EEF2" w14:textId="480F8F48" w:rsidR="0027769B" w:rsidRDefault="0027769B" w:rsidP="0027769B">
      <w:r w:rsidRPr="00D34740">
        <w:rPr>
          <w:i/>
          <w:iCs/>
        </w:rPr>
        <w:t xml:space="preserve">Impact of the change:  </w:t>
      </w:r>
      <w:r w:rsidR="0000689B">
        <w:t xml:space="preserve">Comparing to the </w:t>
      </w:r>
      <w:r w:rsidR="00D67708">
        <w:t>Student Centered Funding Formula (</w:t>
      </w:r>
      <w:r w:rsidR="0000689B">
        <w:t>SCFF</w:t>
      </w:r>
      <w:r w:rsidR="00D67708">
        <w:t>)</w:t>
      </w:r>
      <w:r w:rsidR="0000689B">
        <w:t xml:space="preserve"> versions of these metrics, f</w:t>
      </w:r>
      <w:r w:rsidR="007F1A04">
        <w:t>or completion of both transfer level math and English, s</w:t>
      </w:r>
      <w:r>
        <w:t xml:space="preserve">tatewide values are higher by </w:t>
      </w:r>
      <w:r w:rsidR="00607BD1">
        <w:t>25</w:t>
      </w:r>
      <w:r w:rsidR="00C565D8">
        <w:t xml:space="preserve">% </w:t>
      </w:r>
      <w:r w:rsidR="00607BD1">
        <w:t>to 40% depending on the year</w:t>
      </w:r>
      <w:r w:rsidR="003A4930">
        <w:t xml:space="preserve"> or </w:t>
      </w:r>
      <w:r w:rsidR="00607BD1">
        <w:t>2 to 3</w:t>
      </w:r>
      <w:r w:rsidR="003A4930">
        <w:t xml:space="preserve"> percentage points</w:t>
      </w:r>
      <w:r>
        <w:t>.</w:t>
      </w:r>
      <w:r w:rsidR="0012291A">
        <w:t xml:space="preserve"> </w:t>
      </w:r>
      <w:r w:rsidR="007F1A04">
        <w:t xml:space="preserve">For completion of transfer level Math, statewide values are higher by </w:t>
      </w:r>
      <w:r w:rsidR="00607BD1">
        <w:t>13</w:t>
      </w:r>
      <w:r w:rsidR="007F1A04">
        <w:t xml:space="preserve">% </w:t>
      </w:r>
      <w:r w:rsidR="00607BD1">
        <w:t xml:space="preserve">to18% </w:t>
      </w:r>
      <w:r w:rsidR="003A4930">
        <w:t xml:space="preserve">or </w:t>
      </w:r>
      <w:r w:rsidR="00607BD1">
        <w:t xml:space="preserve">2 </w:t>
      </w:r>
      <w:r w:rsidR="003A4930">
        <w:t xml:space="preserve"> percentage points</w:t>
      </w:r>
      <w:r w:rsidR="007F1A04">
        <w:t xml:space="preserve">. For completion of transfer level English, statewide values are higher by </w:t>
      </w:r>
      <w:r w:rsidR="00607BD1">
        <w:t>10% to 15%</w:t>
      </w:r>
      <w:r w:rsidR="003A4930">
        <w:t xml:space="preserve"> or </w:t>
      </w:r>
      <w:r w:rsidR="00607BD1">
        <w:t>3</w:t>
      </w:r>
      <w:r w:rsidR="003A4930">
        <w:t xml:space="preserve"> percentage points</w:t>
      </w:r>
      <w:r w:rsidR="007F1A04">
        <w:t>.</w:t>
      </w:r>
      <w:r w:rsidR="00372F6B">
        <w:t xml:space="preserve"> For all three metrics, all values are higher for all colleges</w:t>
      </w:r>
      <w:r w:rsidR="00CC307A">
        <w:t>.</w:t>
      </w:r>
    </w:p>
    <w:p w14:paraId="617A31A1" w14:textId="116E5830" w:rsidR="003D2412" w:rsidRDefault="003956D4" w:rsidP="003D2412">
      <w:pPr>
        <w:pStyle w:val="Heading2"/>
      </w:pPr>
      <w:bookmarkStart w:id="1" w:name="_Toc87461827"/>
      <w:r>
        <w:t>First-Time Cohort Definition</w:t>
      </w:r>
      <w:bookmarkEnd w:id="1"/>
    </w:p>
    <w:p w14:paraId="7961BCC6" w14:textId="08DCB6BD" w:rsidR="002C6FBF" w:rsidRDefault="00E74A10" w:rsidP="006754F0">
      <w:r>
        <w:t>Since a cohort view was added as part of the 2020-21 Student Success Metrics (SSM</w:t>
      </w:r>
      <w:r w:rsidR="007763EF">
        <w:t>)</w:t>
      </w:r>
      <w:r>
        <w:t xml:space="preserve"> build, </w:t>
      </w:r>
      <w:r w:rsidR="00F62EA0">
        <w:t>t</w:t>
      </w:r>
      <w:r w:rsidR="00013C27">
        <w:t xml:space="preserve">he definition for </w:t>
      </w:r>
      <w:r w:rsidR="002C6FBF">
        <w:t xml:space="preserve">the first-time credit student cohort has been updated to align with the definition for the </w:t>
      </w:r>
      <w:r>
        <w:t>SSM cohort with the following changes</w:t>
      </w:r>
      <w:r w:rsidR="007763EF">
        <w:t xml:space="preserve"> to the Guided Pathways (GP) cohort</w:t>
      </w:r>
      <w:r w:rsidR="002C6FBF">
        <w:t>:</w:t>
      </w:r>
    </w:p>
    <w:p w14:paraId="02519425" w14:textId="5A747E8B" w:rsidR="003D2412" w:rsidRDefault="00E74A10" w:rsidP="002C6FBF">
      <w:pPr>
        <w:pStyle w:val="ListParagraph"/>
        <w:numPr>
          <w:ilvl w:val="0"/>
          <w:numId w:val="29"/>
        </w:numPr>
      </w:pPr>
      <w:r>
        <w:t>Students have a minimum credit enrollment of 0.5 units or more at the selected college in the selected academic year</w:t>
      </w:r>
    </w:p>
    <w:p w14:paraId="6C4C467E" w14:textId="6ADCAE5D" w:rsidR="00E74A10" w:rsidRDefault="00E74A10" w:rsidP="002C6FBF">
      <w:pPr>
        <w:pStyle w:val="ListParagraph"/>
        <w:numPr>
          <w:ilvl w:val="0"/>
          <w:numId w:val="29"/>
        </w:numPr>
      </w:pPr>
      <w:r>
        <w:t>Students with an Excused Withdrawal (EW) or Military Withdrawal (MW) in ALL credit courses in their first-term are excluded from the selected college in the selected academic year</w:t>
      </w:r>
    </w:p>
    <w:p w14:paraId="4956FDC0" w14:textId="492D363A" w:rsidR="00E74A10" w:rsidRDefault="00E74A10" w:rsidP="006754F0">
      <w:pPr>
        <w:pStyle w:val="ListParagraph"/>
        <w:numPr>
          <w:ilvl w:val="0"/>
          <w:numId w:val="29"/>
        </w:numPr>
        <w:spacing w:after="160"/>
        <w:contextualSpacing w:val="0"/>
      </w:pPr>
      <w:r>
        <w:t>Students have never enrolled</w:t>
      </w:r>
      <w:r w:rsidRPr="00E74A10">
        <w:t xml:space="preserve"> at any postsecondary institution except C</w:t>
      </w:r>
      <w:r>
        <w:t>alifornia</w:t>
      </w:r>
      <w:r w:rsidRPr="00E74A10">
        <w:t xml:space="preserve"> community colleges while the student was 18 or older</w:t>
      </w:r>
      <w:r>
        <w:t xml:space="preserve"> </w:t>
      </w:r>
    </w:p>
    <w:p w14:paraId="423C7F14" w14:textId="263CC04A" w:rsidR="006754F0" w:rsidRDefault="006754F0" w:rsidP="000D79DD">
      <w:pPr>
        <w:spacing w:after="120"/>
      </w:pPr>
      <w:r>
        <w:t xml:space="preserve">The only difference between the cohort in Guided Pathways and </w:t>
      </w:r>
      <w:r w:rsidR="007763EF">
        <w:t xml:space="preserve">in </w:t>
      </w:r>
      <w:r>
        <w:t xml:space="preserve">SSM is that </w:t>
      </w:r>
      <w:r w:rsidR="007763EF">
        <w:t xml:space="preserve">first-time students must start in the fall term </w:t>
      </w:r>
      <w:r>
        <w:t xml:space="preserve">while the SSM cohort </w:t>
      </w:r>
      <w:r w:rsidR="007763EF">
        <w:t>also includes students who start</w:t>
      </w:r>
      <w:r>
        <w:t xml:space="preserve"> in the winter term for schools on the quarter system or </w:t>
      </w:r>
      <w:r w:rsidR="007763EF">
        <w:t xml:space="preserve">in the </w:t>
      </w:r>
      <w:r>
        <w:t xml:space="preserve">spring term. In both definitions, special admit students are included as long as they have a non-special admit enrollment in a primary term. </w:t>
      </w:r>
    </w:p>
    <w:p w14:paraId="66863B1D" w14:textId="3DCD3747" w:rsidR="006754F0" w:rsidRDefault="006754F0" w:rsidP="006754F0">
      <w:r>
        <w:t xml:space="preserve">In the prior version of Guided Pathways, students were excluded if they were enrolled at any four-year institution up to and including the selected year while the new version excludes students who were enrolled at any two-or four-year postsecondary institution </w:t>
      </w:r>
      <w:r w:rsidR="00E86865">
        <w:t>up to and including the selected year for any years in which the student was 18 or older.</w:t>
      </w:r>
    </w:p>
    <w:p w14:paraId="76847B8E" w14:textId="3F6C5C3A" w:rsidR="00D34740" w:rsidRDefault="00D34740" w:rsidP="00D34740">
      <w:r w:rsidRPr="00D34740">
        <w:rPr>
          <w:i/>
          <w:iCs/>
        </w:rPr>
        <w:t xml:space="preserve">Impact of the change:  </w:t>
      </w:r>
      <w:r w:rsidR="00E86865">
        <w:t>Statewide, t</w:t>
      </w:r>
      <w:r>
        <w:t xml:space="preserve">he number of students included in </w:t>
      </w:r>
      <w:r w:rsidR="00D34FC4">
        <w:t xml:space="preserve">the </w:t>
      </w:r>
      <w:r w:rsidR="00E74A10">
        <w:t>First-Time Cohort</w:t>
      </w:r>
      <w:r>
        <w:t xml:space="preserve"> is </w:t>
      </w:r>
      <w:r w:rsidR="00E86865">
        <w:t>lower</w:t>
      </w:r>
      <w:r w:rsidR="00D34FC4">
        <w:t xml:space="preserve"> by </w:t>
      </w:r>
      <w:r w:rsidR="00E86865">
        <w:t>4</w:t>
      </w:r>
      <w:r w:rsidR="00D34FC4">
        <w:t xml:space="preserve">% to </w:t>
      </w:r>
      <w:r w:rsidR="00E86865">
        <w:t>9</w:t>
      </w:r>
      <w:r w:rsidR="00D34FC4">
        <w:t xml:space="preserve">% </w:t>
      </w:r>
      <w:r w:rsidR="00E86865">
        <w:t>depending on the year. 7</w:t>
      </w:r>
      <w:r w:rsidR="00CC307A">
        <w:t>5</w:t>
      </w:r>
      <w:r w:rsidR="00E86865">
        <w:t>% to 89% of the</w:t>
      </w:r>
      <w:r w:rsidR="00D34FC4">
        <w:t xml:space="preserve"> colleges</w:t>
      </w:r>
      <w:r w:rsidR="00E86865">
        <w:t xml:space="preserve"> are lower as well with a few colleges higher for all or some years. </w:t>
      </w:r>
    </w:p>
    <w:p w14:paraId="1FBDFEA2" w14:textId="77777777" w:rsidR="001929E7" w:rsidRDefault="001929E7" w:rsidP="00682730">
      <w:pPr>
        <w:pStyle w:val="Heading2"/>
      </w:pPr>
      <w:bookmarkStart w:id="2" w:name="_Toc87461828"/>
      <w:r>
        <w:t>G</w:t>
      </w:r>
      <w:r w:rsidR="00AE0896">
        <w:t>ender</w:t>
      </w:r>
      <w:bookmarkEnd w:id="2"/>
    </w:p>
    <w:p w14:paraId="59CE3805" w14:textId="5F820197" w:rsidR="001929E7" w:rsidRDefault="00901B54" w:rsidP="001929E7">
      <w:r>
        <w:t>A n</w:t>
      </w:r>
      <w:r w:rsidR="001929E7">
        <w:t xml:space="preserve">ew </w:t>
      </w:r>
      <w:r>
        <w:t>N</w:t>
      </w:r>
      <w:r w:rsidR="001929E7">
        <w:t>on-binary</w:t>
      </w:r>
      <w:r w:rsidR="009B6CD5">
        <w:t xml:space="preserve"> </w:t>
      </w:r>
      <w:r w:rsidR="001929E7">
        <w:t xml:space="preserve"> </w:t>
      </w:r>
      <w:r>
        <w:t xml:space="preserve">data value </w:t>
      </w:r>
      <w:r w:rsidR="001929E7">
        <w:t xml:space="preserve">is now </w:t>
      </w:r>
      <w:r w:rsidR="009B6CD5">
        <w:t>displayed</w:t>
      </w:r>
      <w:r>
        <w:t>, effective as of summer term 2019</w:t>
      </w:r>
      <w:r w:rsidR="001929E7">
        <w:t>.</w:t>
      </w:r>
    </w:p>
    <w:p w14:paraId="630D44A3" w14:textId="3006598A" w:rsidR="00901B54" w:rsidRDefault="00901B54" w:rsidP="00901B54">
      <w:r w:rsidRPr="00D34740">
        <w:rPr>
          <w:i/>
          <w:iCs/>
        </w:rPr>
        <w:t xml:space="preserve">Impact of the change:  </w:t>
      </w:r>
      <w:r>
        <w:t>Fewer students will be shown as Unreported/Other.</w:t>
      </w:r>
    </w:p>
    <w:p w14:paraId="59C0366D" w14:textId="12F92D77" w:rsidR="00682730" w:rsidRDefault="00AE0896" w:rsidP="00682730">
      <w:pPr>
        <w:pStyle w:val="Heading2"/>
      </w:pPr>
      <w:bookmarkStart w:id="3" w:name="_Toc87461829"/>
      <w:r>
        <w:t>Age Groups</w:t>
      </w:r>
      <w:bookmarkEnd w:id="3"/>
    </w:p>
    <w:p w14:paraId="3DF4D7A1" w14:textId="77777777" w:rsidR="00682730" w:rsidRPr="000166B8" w:rsidRDefault="00682730" w:rsidP="00682730">
      <w:r>
        <w:t>Based on a decision by the Chancellor’s Office for alignment with Datamart, age groupings for 40 to 54 and 55 and older have been changed to 40 to 49 and 50 and older.</w:t>
      </w:r>
    </w:p>
    <w:p w14:paraId="75010D3B" w14:textId="49568115" w:rsidR="00682730" w:rsidRDefault="00682730" w:rsidP="00682730">
      <w:r w:rsidRPr="00D34740">
        <w:rPr>
          <w:i/>
          <w:iCs/>
        </w:rPr>
        <w:t xml:space="preserve">Impact of the change:  </w:t>
      </w:r>
      <w:r w:rsidR="009B6CD5">
        <w:t>Counts</w:t>
      </w:r>
      <w:r>
        <w:t xml:space="preserve"> for two new age groupings are affected.</w:t>
      </w:r>
    </w:p>
    <w:p w14:paraId="7B76F2BF" w14:textId="3BBB76DD" w:rsidR="005C3401" w:rsidRDefault="005C3401" w:rsidP="005C3401">
      <w:pPr>
        <w:pStyle w:val="Heading2"/>
      </w:pPr>
      <w:bookmarkStart w:id="4" w:name="_Toc87461830"/>
      <w:r>
        <w:t>Course Success Rate</w:t>
      </w:r>
      <w:bookmarkEnd w:id="4"/>
    </w:p>
    <w:p w14:paraId="1D4B8D44" w14:textId="772AB95D" w:rsidR="005C3401" w:rsidRDefault="005C3401" w:rsidP="00580C89">
      <w:pPr>
        <w:spacing w:after="40"/>
      </w:pPr>
      <w:r>
        <w:t xml:space="preserve">In order to align across dashboards, a Chancellor’s Office decision was made to identify unique courses by student, locale, </w:t>
      </w:r>
      <w:hyperlink r:id="rId10" w:history="1">
        <w:r w:rsidRPr="005C3401">
          <w:rPr>
            <w:rStyle w:val="Hyperlink"/>
            <w:rFonts w:ascii="Source Sans Pro" w:hAnsi="Source Sans Pro"/>
          </w:rPr>
          <w:t>GI03 Term-Identifier</w:t>
        </w:r>
      </w:hyperlink>
      <w:r>
        <w:t xml:space="preserve">, </w:t>
      </w:r>
      <w:hyperlink r:id="rId11" w:history="1">
        <w:r w:rsidRPr="005C3401">
          <w:rPr>
            <w:rStyle w:val="Hyperlink"/>
            <w:rFonts w:ascii="Source Sans Pro" w:hAnsi="Source Sans Pro"/>
          </w:rPr>
          <w:t>CB00 course-Control-Number</w:t>
        </w:r>
      </w:hyperlink>
      <w:r>
        <w:t xml:space="preserve">, and </w:t>
      </w:r>
      <w:hyperlink r:id="rId12" w:history="1">
        <w:r w:rsidRPr="005C3401">
          <w:rPr>
            <w:rStyle w:val="Hyperlink"/>
            <w:rFonts w:ascii="Source Sans Pro" w:hAnsi="Source Sans Pro"/>
          </w:rPr>
          <w:t>XB00 Section-Identifier</w:t>
        </w:r>
      </w:hyperlink>
      <w:r>
        <w:t xml:space="preserve"> affecting the values and denominators for this metric. Previously in </w:t>
      </w:r>
      <w:r w:rsidR="00B825DE">
        <w:t>GP</w:t>
      </w:r>
      <w:r>
        <w:t xml:space="preserve">, </w:t>
      </w:r>
      <w:hyperlink r:id="rId13" w:history="1">
        <w:r w:rsidRPr="005C3401">
          <w:rPr>
            <w:rStyle w:val="Hyperlink"/>
            <w:rFonts w:ascii="Source Sans Pro" w:hAnsi="Source Sans Pro"/>
          </w:rPr>
          <w:t>CB04 Course-Credit-Status</w:t>
        </w:r>
      </w:hyperlink>
      <w:r>
        <w:t xml:space="preserve"> was used instead of </w:t>
      </w:r>
      <w:hyperlink r:id="rId14" w:history="1">
        <w:r w:rsidRPr="005C3401">
          <w:rPr>
            <w:rStyle w:val="Hyperlink"/>
            <w:rFonts w:ascii="Source Sans Pro" w:hAnsi="Source Sans Pro"/>
          </w:rPr>
          <w:t>GI03 Term-Identifier</w:t>
        </w:r>
      </w:hyperlink>
      <w:r>
        <w:t xml:space="preserve">. </w:t>
      </w:r>
    </w:p>
    <w:p w14:paraId="566CDC48" w14:textId="5BADC212" w:rsidR="005C3401" w:rsidRDefault="005C3401" w:rsidP="005C3401">
      <w:r w:rsidRPr="00D34740">
        <w:rPr>
          <w:i/>
          <w:iCs/>
        </w:rPr>
        <w:t xml:space="preserve">Impact of the change:  </w:t>
      </w:r>
      <w:r w:rsidRPr="006C0D83">
        <w:t xml:space="preserve">Statewide </w:t>
      </w:r>
      <w:r>
        <w:t xml:space="preserve">values and denominators are slightly </w:t>
      </w:r>
      <w:r w:rsidR="00C457AC">
        <w:t>lower</w:t>
      </w:r>
      <w:r>
        <w:t xml:space="preserve"> with percentages </w:t>
      </w:r>
      <w:r w:rsidR="00C457AC">
        <w:t>higher by 1 percentage point</w:t>
      </w:r>
      <w:r>
        <w:t xml:space="preserve">. For nearly all colleges, values and denominators are slightly </w:t>
      </w:r>
      <w:r w:rsidR="00C457AC">
        <w:t xml:space="preserve">lower </w:t>
      </w:r>
      <w:r>
        <w:t xml:space="preserve">with </w:t>
      </w:r>
      <w:r w:rsidR="00C457AC">
        <w:t>no or slight impact to percentages.</w:t>
      </w:r>
    </w:p>
    <w:p w14:paraId="0C31BC69" w14:textId="4D04F4BA" w:rsidR="0027769B" w:rsidRDefault="0027769B" w:rsidP="0027769B">
      <w:pPr>
        <w:pStyle w:val="Heading2"/>
      </w:pPr>
      <w:bookmarkStart w:id="5" w:name="_Toc87461831"/>
      <w:r>
        <w:t>Completed Transfer Level Math and English</w:t>
      </w:r>
      <w:r w:rsidR="00CD129F">
        <w:t xml:space="preserve"> (aligned with SCFF)</w:t>
      </w:r>
      <w:bookmarkEnd w:id="5"/>
    </w:p>
    <w:p w14:paraId="3AA381C1" w14:textId="3EB3CE90" w:rsidR="0027769B" w:rsidRDefault="00A2178E" w:rsidP="0027769B">
      <w:r>
        <w:t xml:space="preserve">To correct a coding error, </w:t>
      </w:r>
      <w:r w:rsidR="0027769B">
        <w:t xml:space="preserve">the data element </w:t>
      </w:r>
      <w:hyperlink r:id="rId15" w:history="1">
        <w:r w:rsidR="0027769B" w:rsidRPr="00B64EE8">
          <w:rPr>
            <w:rStyle w:val="Hyperlink"/>
            <w:rFonts w:ascii="Source Sans Pro" w:hAnsi="Source Sans Pro"/>
          </w:rPr>
          <w:t>SXD2 Enrollment-Credit-Status</w:t>
        </w:r>
      </w:hyperlink>
      <w:r w:rsidR="0027769B">
        <w:t xml:space="preserve"> </w:t>
      </w:r>
      <w:r w:rsidR="00B64EE8">
        <w:t>has been</w:t>
      </w:r>
      <w:r w:rsidR="0027769B">
        <w:t xml:space="preserve"> </w:t>
      </w:r>
      <w:r>
        <w:t>included in</w:t>
      </w:r>
      <w:r w:rsidR="0027769B">
        <w:t xml:space="preserve"> the denominator</w:t>
      </w:r>
      <w:r w:rsidR="00B64EE8">
        <w:t xml:space="preserve"> calculation for all non-special admit students who enrolled in credit courses for the first-time in the district</w:t>
      </w:r>
      <w:r w:rsidR="005725FD">
        <w:t xml:space="preserve"> in order to </w:t>
      </w:r>
      <w:r w:rsidR="008A2777">
        <w:t>align with SCFF more closely</w:t>
      </w:r>
      <w:r w:rsidR="0027769B">
        <w:t xml:space="preserve">. </w:t>
      </w:r>
    </w:p>
    <w:p w14:paraId="2DB5A50D" w14:textId="78B535E7" w:rsidR="0027769B" w:rsidRDefault="0027769B" w:rsidP="0027769B">
      <w:r w:rsidRPr="00D34740">
        <w:rPr>
          <w:i/>
          <w:iCs/>
        </w:rPr>
        <w:t xml:space="preserve">Impact of the change:  </w:t>
      </w:r>
      <w:r w:rsidR="00D00996">
        <w:t xml:space="preserve">Statewide values </w:t>
      </w:r>
      <w:r w:rsidR="00BE26AF">
        <w:t xml:space="preserve">are higher by 12% to 18% </w:t>
      </w:r>
      <w:r w:rsidR="00D00996">
        <w:t xml:space="preserve">and denominators are </w:t>
      </w:r>
      <w:r w:rsidR="00BE26AF">
        <w:t>lower by 4% to 9%</w:t>
      </w:r>
      <w:r w:rsidR="00D00996">
        <w:t xml:space="preserve"> with percentages </w:t>
      </w:r>
      <w:r w:rsidR="00BE26AF">
        <w:t>higher by 1 to 3 percentage points</w:t>
      </w:r>
      <w:r>
        <w:t xml:space="preserve">. </w:t>
      </w:r>
      <w:r w:rsidR="00D00996">
        <w:t>Values are the same or higher for 8</w:t>
      </w:r>
      <w:r w:rsidR="00EE37D0">
        <w:t>3</w:t>
      </w:r>
      <w:r w:rsidR="00D00996">
        <w:t>% of colleges on average with denominators</w:t>
      </w:r>
      <w:r w:rsidR="00AB203B">
        <w:t xml:space="preserve"> lower</w:t>
      </w:r>
      <w:r w:rsidR="00D00996">
        <w:t xml:space="preserve"> for </w:t>
      </w:r>
      <w:r w:rsidR="00EE37D0">
        <w:t>77</w:t>
      </w:r>
      <w:r w:rsidR="00D00996">
        <w:t>% of colleges</w:t>
      </w:r>
      <w:r w:rsidR="00AB203B">
        <w:t xml:space="preserve"> on average</w:t>
      </w:r>
      <w:r w:rsidR="00D00996">
        <w:t xml:space="preserve">. Percentages are </w:t>
      </w:r>
      <w:r w:rsidR="00EE37D0">
        <w:t>higher for nearly all colleges.</w:t>
      </w:r>
    </w:p>
    <w:p w14:paraId="71036B1A" w14:textId="4762CDD6" w:rsidR="005A7407" w:rsidRDefault="005A7407" w:rsidP="005A7407">
      <w:pPr>
        <w:pStyle w:val="Heading2"/>
      </w:pPr>
      <w:bookmarkStart w:id="6" w:name="_Toc87461832"/>
      <w:r>
        <w:t>Completed Transfer Level Math</w:t>
      </w:r>
      <w:bookmarkEnd w:id="6"/>
    </w:p>
    <w:p w14:paraId="2B30BE35" w14:textId="77777777" w:rsidR="005A7407" w:rsidRDefault="005A7407" w:rsidP="005A7407">
      <w:r>
        <w:t xml:space="preserve">To correct a coding error, the data element </w:t>
      </w:r>
      <w:hyperlink r:id="rId16" w:history="1">
        <w:r w:rsidRPr="00B64EE8">
          <w:rPr>
            <w:rStyle w:val="Hyperlink"/>
            <w:rFonts w:ascii="Source Sans Pro" w:hAnsi="Source Sans Pro"/>
          </w:rPr>
          <w:t>SXD2 Enrollment-Credit-Status</w:t>
        </w:r>
      </w:hyperlink>
      <w:r>
        <w:t xml:space="preserve"> has been included in the denominator calculation for all non-special admit students who enrolled in credit courses for the first-time in the district in order to align with SCFF more closely. </w:t>
      </w:r>
    </w:p>
    <w:p w14:paraId="07FDC81B" w14:textId="0773F14B" w:rsidR="005A7407" w:rsidRDefault="005A7407" w:rsidP="005A7407">
      <w:r w:rsidRPr="00D34740">
        <w:rPr>
          <w:i/>
          <w:iCs/>
        </w:rPr>
        <w:t xml:space="preserve">Impact of the change:  </w:t>
      </w:r>
      <w:r>
        <w:t>Statewide values are higher by 2% to 10% and denominators are lower by 4% to 9% with percentages higher by 1 to 2 percentage points. Values are the same or higher for 61% of colleges on average with denominators lower for 79% of colleges on average. Percentages are higher for 86% of colleges on average.</w:t>
      </w:r>
    </w:p>
    <w:p w14:paraId="13157B03" w14:textId="2752B261" w:rsidR="00AB1816" w:rsidRDefault="00AB1816" w:rsidP="00AB1816">
      <w:pPr>
        <w:pStyle w:val="Heading2"/>
      </w:pPr>
      <w:bookmarkStart w:id="7" w:name="_Toc87461833"/>
      <w:r>
        <w:t>Completed Transfer Level English</w:t>
      </w:r>
      <w:bookmarkEnd w:id="7"/>
    </w:p>
    <w:p w14:paraId="3A1CE11B" w14:textId="77777777" w:rsidR="00AB1816" w:rsidRDefault="00AB1816" w:rsidP="00AB1816">
      <w:r>
        <w:t xml:space="preserve">To correct a coding error, the data element </w:t>
      </w:r>
      <w:hyperlink r:id="rId17" w:history="1">
        <w:r w:rsidRPr="00B64EE8">
          <w:rPr>
            <w:rStyle w:val="Hyperlink"/>
            <w:rFonts w:ascii="Source Sans Pro" w:hAnsi="Source Sans Pro"/>
          </w:rPr>
          <w:t>SXD2 Enrollment-Credit-Status</w:t>
        </w:r>
      </w:hyperlink>
      <w:r>
        <w:t xml:space="preserve"> has been included in the denominator calculation for all non-special admit students who enrolled in credit courses for the first-time in the district in order to align with SCFF more closely. </w:t>
      </w:r>
    </w:p>
    <w:p w14:paraId="00F49970" w14:textId="58FA6F28" w:rsidR="00AB1816" w:rsidRDefault="00AB1816" w:rsidP="00AB1816">
      <w:r w:rsidRPr="00D34740">
        <w:rPr>
          <w:i/>
          <w:iCs/>
        </w:rPr>
        <w:t xml:space="preserve">Impact of the change:  </w:t>
      </w:r>
      <w:r>
        <w:t xml:space="preserve">Statewide values are higher by 7% to 13% and denominators are lower by 4% to 9% with percentages higher by 3 to 6 percentage points. Values are the same or higher for </w:t>
      </w:r>
      <w:r w:rsidR="00003662">
        <w:t>74</w:t>
      </w:r>
      <w:r>
        <w:t xml:space="preserve">% of colleges on average with denominators lower for </w:t>
      </w:r>
      <w:r w:rsidR="00003662">
        <w:t>80</w:t>
      </w:r>
      <w:r>
        <w:t xml:space="preserve">% of colleges on average. Percentages are higher for </w:t>
      </w:r>
      <w:r w:rsidR="00003662">
        <w:t>nearly all colleges</w:t>
      </w:r>
      <w:r>
        <w:t>.</w:t>
      </w:r>
    </w:p>
    <w:p w14:paraId="0FB1C673" w14:textId="7743DBE7" w:rsidR="00F97B45" w:rsidRDefault="00F97B45" w:rsidP="00F97B45">
      <w:pPr>
        <w:pStyle w:val="Heading2"/>
      </w:pPr>
      <w:bookmarkStart w:id="8" w:name="_Toc87461834"/>
      <w:r>
        <w:t>Retained Fall to Spring</w:t>
      </w:r>
      <w:bookmarkEnd w:id="8"/>
    </w:p>
    <w:p w14:paraId="3216E2B9" w14:textId="2734D6B8" w:rsidR="00F97B45" w:rsidRPr="000166B8" w:rsidRDefault="00493D84" w:rsidP="00F97B45">
      <w:r>
        <w:t xml:space="preserve">In the previous version, the denominator for this metric had additional restrictions on the cohort by making sure that the student did not earn an award and did not transfer to any four-year postsecondary institution in the selected year. In the current version, the metric has attempted to align with a similar metric in the Student Success Metrics (SSM) cohort view for </w:t>
      </w:r>
      <w:r w:rsidRPr="00493D84">
        <w:t>All Cohort Students Who Were Retained from First Primary Term of Enrollment to the Subsequent Primary Term</w:t>
      </w:r>
      <w:r>
        <w:t xml:space="preserve">, and the denominator is the first-time cohort without any additional restrictions. In Guided Pathways, first-time students must start in the fall term as a non-special admit, allowing for preceding summer enrollment, while SSM allows </w:t>
      </w:r>
      <w:r w:rsidR="00DD3B23">
        <w:t xml:space="preserve">fist-time </w:t>
      </w:r>
      <w:r>
        <w:t>students to start as a non-special admit in any primary term.</w:t>
      </w:r>
    </w:p>
    <w:p w14:paraId="3304AED8" w14:textId="4CD63EC2" w:rsidR="00F97B45" w:rsidRDefault="00F97B45" w:rsidP="00F97B45">
      <w:r w:rsidRPr="00A74F6B">
        <w:rPr>
          <w:i/>
          <w:iCs/>
        </w:rPr>
        <w:t xml:space="preserve">Impact of the change:  </w:t>
      </w:r>
      <w:r w:rsidR="005745E5">
        <w:t>Statewide</w:t>
      </w:r>
      <w:r w:rsidR="0063506B" w:rsidRPr="0063506B">
        <w:t xml:space="preserve"> </w:t>
      </w:r>
      <w:r w:rsidR="0063506B">
        <w:t xml:space="preserve">values are </w:t>
      </w:r>
      <w:r w:rsidR="005745E5">
        <w:t xml:space="preserve">higher by 1% to 4% with </w:t>
      </w:r>
      <w:r w:rsidR="00F55268">
        <w:t xml:space="preserve">a </w:t>
      </w:r>
      <w:r w:rsidR="005745E5">
        <w:t>very slight decrease in 2013,</w:t>
      </w:r>
      <w:r w:rsidR="0063506B">
        <w:t xml:space="preserve"> and denominators are slightly </w:t>
      </w:r>
      <w:r w:rsidR="005745E5">
        <w:t xml:space="preserve">lower </w:t>
      </w:r>
      <w:r w:rsidR="0063506B">
        <w:t xml:space="preserve">resulting in percentages </w:t>
      </w:r>
      <w:r w:rsidR="005745E5">
        <w:t>higher</w:t>
      </w:r>
      <w:r w:rsidR="0063506B">
        <w:t xml:space="preserve"> by </w:t>
      </w:r>
      <w:r w:rsidR="005745E5">
        <w:t>3</w:t>
      </w:r>
      <w:r w:rsidR="0063506B">
        <w:t xml:space="preserve"> to </w:t>
      </w:r>
      <w:r w:rsidR="005745E5">
        <w:t>4</w:t>
      </w:r>
      <w:r w:rsidR="0063506B">
        <w:t xml:space="preserve"> percentage points</w:t>
      </w:r>
      <w:r w:rsidR="008501F5">
        <w:t xml:space="preserve"> depending on the year</w:t>
      </w:r>
      <w:r w:rsidR="0063506B">
        <w:t xml:space="preserve">. Values </w:t>
      </w:r>
      <w:r w:rsidR="005745E5">
        <w:t>are higher on average for 54% of colleges with lower denominators on average for 69% of colleges. Similar to statewide, percentages are higher for nearly all colleges in nearly all years.</w:t>
      </w:r>
    </w:p>
    <w:p w14:paraId="602ADFFA" w14:textId="710317A5" w:rsidR="00F13703" w:rsidRDefault="00F13703" w:rsidP="00F13703">
      <w:pPr>
        <w:pStyle w:val="Heading2"/>
      </w:pPr>
      <w:bookmarkStart w:id="9" w:name="_Toc87461835"/>
      <w:r>
        <w:t>Successfully Completed Unit Thresholds in the Fall</w:t>
      </w:r>
      <w:bookmarkEnd w:id="9"/>
    </w:p>
    <w:p w14:paraId="6BCDEB69" w14:textId="5DE538F2" w:rsidR="00264324" w:rsidRDefault="001219A2" w:rsidP="00264324">
      <w:pPr>
        <w:pStyle w:val="ListParagraph"/>
        <w:numPr>
          <w:ilvl w:val="0"/>
          <w:numId w:val="23"/>
        </w:numPr>
      </w:pPr>
      <w:r>
        <w:t xml:space="preserve">Previously, fall units at colleges on the quarter system were </w:t>
      </w:r>
      <w:r w:rsidR="00EF1CC9">
        <w:t xml:space="preserve">displayed </w:t>
      </w:r>
      <w:r>
        <w:t xml:space="preserve">using groupings that reflect the different weight assigned to quarter units versus semester units. For example, rather than having a grouping of 0.1-5.9 units, the grouping was 0.1-8.9 units. </w:t>
      </w:r>
      <w:r w:rsidR="00F13703">
        <w:t>Based on a decision by the C</w:t>
      </w:r>
      <w:r w:rsidR="00F278B9">
        <w:t xml:space="preserve">hancellor’s </w:t>
      </w:r>
      <w:r w:rsidR="00F13703">
        <w:t>O</w:t>
      </w:r>
      <w:r w:rsidR="00F278B9">
        <w:t>ffice</w:t>
      </w:r>
      <w:r w:rsidR="00F13703">
        <w:t xml:space="preserve">, </w:t>
      </w:r>
      <w:r>
        <w:t>colleges on the quarter system will have the same unit groupings as semester college</w:t>
      </w:r>
      <w:r w:rsidR="00E51412">
        <w:t>s</w:t>
      </w:r>
      <w:r>
        <w:t>.</w:t>
      </w:r>
      <w:r w:rsidR="009D4945">
        <w:t xml:space="preserve"> </w:t>
      </w:r>
      <w:r w:rsidR="009D4945" w:rsidRPr="000E38C4">
        <w:t>In the prior version, semester units were displayed for quarter unit schools in quarter unit buckets</w:t>
      </w:r>
      <w:r w:rsidR="009D4945">
        <w:t>.</w:t>
      </w:r>
    </w:p>
    <w:p w14:paraId="44F83ED3" w14:textId="3081EE82" w:rsidR="00F13703" w:rsidRDefault="00264324" w:rsidP="008D069A">
      <w:pPr>
        <w:pStyle w:val="ListParagraph"/>
        <w:numPr>
          <w:ilvl w:val="0"/>
          <w:numId w:val="23"/>
        </w:numPr>
        <w:contextualSpacing w:val="0"/>
      </w:pPr>
      <w:r w:rsidRPr="00264324">
        <w:t xml:space="preserve">Based on a decision by the CO, students enrolled only in the Winter or Spring terms at the selected college will not be included if that student does not have a fall enrollment at that college. In the prior version, students at </w:t>
      </w:r>
      <w:r>
        <w:t>college A</w:t>
      </w:r>
      <w:r w:rsidRPr="00264324">
        <w:t xml:space="preserve">, enrolled only in Winter or Spring terms, who had a Fall enrollment at </w:t>
      </w:r>
      <w:r>
        <w:t>college B</w:t>
      </w:r>
      <w:r w:rsidRPr="00264324">
        <w:t xml:space="preserve"> in the selected year were also included </w:t>
      </w:r>
      <w:r>
        <w:t>at college A</w:t>
      </w:r>
      <w:r w:rsidRPr="00264324">
        <w:t xml:space="preserve">. </w:t>
      </w:r>
    </w:p>
    <w:p w14:paraId="7ED29DF7" w14:textId="0FD9CFE5" w:rsidR="00F13703" w:rsidRDefault="00F13703" w:rsidP="008D069A">
      <w:pPr>
        <w:spacing w:after="40"/>
      </w:pPr>
      <w:r w:rsidRPr="00F13703">
        <w:rPr>
          <w:i/>
          <w:iCs/>
        </w:rPr>
        <w:t>Impact of the change</w:t>
      </w:r>
      <w:r w:rsidRPr="00AB422D">
        <w:t xml:space="preserve">:  </w:t>
      </w:r>
      <w:r w:rsidR="001219A2">
        <w:t>Colleges on the quarter system will see different groupings</w:t>
      </w:r>
      <w:r w:rsidR="00DB3209">
        <w:t>. Statewide</w:t>
      </w:r>
      <w:r w:rsidR="00102B52">
        <w:t xml:space="preserve">, </w:t>
      </w:r>
      <w:r w:rsidR="00DB3209">
        <w:t xml:space="preserve">denominators are </w:t>
      </w:r>
      <w:r w:rsidR="00102B52">
        <w:t>lower</w:t>
      </w:r>
      <w:r w:rsidR="00635CD1">
        <w:t xml:space="preserve">, </w:t>
      </w:r>
      <w:r w:rsidR="00102B52">
        <w:t>and values are higher for all buckets except for 0.1-5 unit and 5-6.9 unit buckets</w:t>
      </w:r>
      <w:r w:rsidR="00DB3209">
        <w:t xml:space="preserve"> with </w:t>
      </w:r>
      <w:r w:rsidR="00102B52">
        <w:t>differences of 0 to 8 percentage points depending on the bucket</w:t>
      </w:r>
      <w:r w:rsidR="00635CD1">
        <w:t xml:space="preserve"> and the year</w:t>
      </w:r>
      <w:r w:rsidR="00DB3209">
        <w:t xml:space="preserve">. </w:t>
      </w:r>
    </w:p>
    <w:p w14:paraId="188ECD30" w14:textId="1EAF0C28" w:rsidR="00AB422D" w:rsidRDefault="00AE0896" w:rsidP="00AB422D">
      <w:pPr>
        <w:pStyle w:val="Heading2"/>
      </w:pPr>
      <w:bookmarkStart w:id="10" w:name="_Toc87461836"/>
      <w:r>
        <w:t>Successfully Completed Unit</w:t>
      </w:r>
      <w:r w:rsidR="00AB422D">
        <w:t xml:space="preserve"> </w:t>
      </w:r>
      <w:r>
        <w:t>Thresholds in the Selected Year</w:t>
      </w:r>
      <w:bookmarkEnd w:id="10"/>
    </w:p>
    <w:p w14:paraId="79502C17" w14:textId="029ECAEA" w:rsidR="00705F24" w:rsidRDefault="00E51412" w:rsidP="000E38C4">
      <w:pPr>
        <w:pStyle w:val="ListParagraph"/>
        <w:numPr>
          <w:ilvl w:val="0"/>
          <w:numId w:val="27"/>
        </w:numPr>
      </w:pPr>
      <w:r>
        <w:t>To correct a coding error</w:t>
      </w:r>
      <w:r w:rsidR="007C1CF2">
        <w:t xml:space="preserve">, </w:t>
      </w:r>
      <w:r>
        <w:t>colleges will be credited for all units that their students earned in a selected year at all colleges that they attended</w:t>
      </w:r>
      <w:r w:rsidR="007C1CF2">
        <w:t xml:space="preserve">. For example, if a student was enrolled in Fall and Spring at college A but only enrolled in Spring at college B, then units earned at college A in the fall </w:t>
      </w:r>
      <w:r>
        <w:t>will now be</w:t>
      </w:r>
      <w:r w:rsidR="007C1CF2">
        <w:t xml:space="preserve"> included in the student’s total for college B for the selected year.  </w:t>
      </w:r>
    </w:p>
    <w:p w14:paraId="10988845" w14:textId="2CDE5BB6" w:rsidR="000E38C4" w:rsidRDefault="000E38C4" w:rsidP="000E38C4">
      <w:pPr>
        <w:pStyle w:val="ListParagraph"/>
        <w:numPr>
          <w:ilvl w:val="0"/>
          <w:numId w:val="27"/>
        </w:numPr>
      </w:pPr>
      <w:r w:rsidRPr="000E38C4">
        <w:t>Based on a C</w:t>
      </w:r>
      <w:r>
        <w:t>hancellor’s Office</w:t>
      </w:r>
      <w:r w:rsidRPr="000E38C4">
        <w:t xml:space="preserve"> decision, for completed unit thresholds in the selected year, semester units will be displayed unless a college or district on the quarter system is selected. The unit buckets, title and description will also be updated to replace “semester” units with “quarter” units. In the prior version, semester units were displayed for quarter unit schools in quarter unit buckets</w:t>
      </w:r>
      <w:r>
        <w:t>.</w:t>
      </w:r>
    </w:p>
    <w:p w14:paraId="49F2C364" w14:textId="46A4457C" w:rsidR="00AB422D" w:rsidRDefault="00AB422D" w:rsidP="005A49C8">
      <w:pPr>
        <w:spacing w:after="40"/>
      </w:pPr>
      <w:r w:rsidRPr="00D44DF9">
        <w:rPr>
          <w:i/>
          <w:iCs/>
        </w:rPr>
        <w:t>Impact of the change</w:t>
      </w:r>
      <w:r w:rsidRPr="00AB422D">
        <w:t xml:space="preserve">: </w:t>
      </w:r>
      <w:r w:rsidR="005A49C8">
        <w:t xml:space="preserve">Statewide denominators are </w:t>
      </w:r>
      <w:r w:rsidR="00102B52">
        <w:t>lower</w:t>
      </w:r>
      <w:r w:rsidR="005A49C8">
        <w:t xml:space="preserve">. Values are lower except for the </w:t>
      </w:r>
      <w:r w:rsidR="00102B52">
        <w:t>6-8.9 unit</w:t>
      </w:r>
      <w:r w:rsidR="00635CD1">
        <w:t xml:space="preserve">, </w:t>
      </w:r>
      <w:r w:rsidR="00102B52">
        <w:t>9-11.9</w:t>
      </w:r>
      <w:r w:rsidR="005A49C8">
        <w:t xml:space="preserve"> </w:t>
      </w:r>
      <w:r w:rsidR="00635CD1">
        <w:t xml:space="preserve">and 15-19.9 </w:t>
      </w:r>
      <w:r w:rsidR="005A49C8">
        <w:t>unit groupings</w:t>
      </w:r>
      <w:r w:rsidR="00635CD1">
        <w:t xml:space="preserve"> with differences of 0 to 9 percentage points depending on the bucket and the year.</w:t>
      </w:r>
    </w:p>
    <w:p w14:paraId="30DDB754" w14:textId="77777777" w:rsidR="00E022B2" w:rsidRPr="003D2412" w:rsidRDefault="00E022B2" w:rsidP="001A3267"/>
    <w:sectPr w:rsidR="00E022B2" w:rsidRPr="003D2412" w:rsidSect="00D600E7">
      <w:footerReference w:type="default" r:id="rId18"/>
      <w:headerReference w:type="first" r:id="rId19"/>
      <w:pgSz w:w="12240" w:h="15840"/>
      <w:pgMar w:top="1080" w:right="1440" w:bottom="108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8B3BB" w14:textId="77777777" w:rsidR="00B03030" w:rsidRDefault="00B03030" w:rsidP="005B1E3A">
      <w:r>
        <w:separator/>
      </w:r>
    </w:p>
  </w:endnote>
  <w:endnote w:type="continuationSeparator" w:id="0">
    <w:p w14:paraId="476C46BE" w14:textId="77777777" w:rsidR="00B03030" w:rsidRDefault="00B03030" w:rsidP="005B1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embedRegular r:id="rId1" w:fontKey="{6CF47B38-962C-46CE-AC91-A3DEA5971413}"/>
    <w:embedBold r:id="rId2" w:fontKey="{F344F3CB-581A-44A3-BE19-7ED5D8BC5EC4}"/>
    <w:embedItalic r:id="rId3" w:fontKey="{50ACBE57-DA5D-458A-9D2C-678A34E90BB3}"/>
  </w:font>
  <w:font w:name="Calibri">
    <w:panose1 w:val="020F0502020204030204"/>
    <w:charset w:val="00"/>
    <w:family w:val="swiss"/>
    <w:pitch w:val="variable"/>
    <w:sig w:usb0="E4002EFF" w:usb1="C000247B" w:usb2="00000009" w:usb3="00000000" w:csb0="000001FF" w:csb1="00000000"/>
    <w:embedRegular r:id="rId4" w:fontKey="{4883F284-ACA9-4B5B-9B38-8BE60A595464}"/>
    <w:embedBold r:id="rId5" w:fontKey="{61E53C4A-D4B6-4F9C-88D5-AEEA51B0C2D2}"/>
    <w:embedItalic r:id="rId6" w:fontKey="{611D079C-D781-41C4-915E-52398C5E3BE9}"/>
  </w:font>
  <w:font w:name="Crimson">
    <w:altName w:val="Calibri"/>
    <w:panose1 w:val="00000000000000000000"/>
    <w:charset w:val="00"/>
    <w:family w:val="modern"/>
    <w:notTrueType/>
    <w:pitch w:val="variable"/>
    <w:sig w:usb0="E00002EF" w:usb1="0000006B" w:usb2="00000000" w:usb3="00000000" w:csb0="0000009F" w:csb1="00000000"/>
  </w:font>
  <w:font w:name="Source Sans Pro SemiBold">
    <w:charset w:val="00"/>
    <w:family w:val="swiss"/>
    <w:pitch w:val="variable"/>
    <w:sig w:usb0="600002F7" w:usb1="02000001" w:usb2="00000000" w:usb3="00000000" w:csb0="0000019F" w:csb1="00000000"/>
    <w:embedRegular r:id="rId7" w:fontKey="{09F0A113-F187-447B-AC0B-BF5E3C659008}"/>
    <w:embedBold r:id="rId8" w:fontKey="{16525EBE-D0AA-4DA8-A2F0-3BB1867D99E6}"/>
    <w:embedItalic r:id="rId9" w:fontKey="{2B5D9E26-806F-4051-BA88-6D140EC19507}"/>
  </w:font>
  <w:font w:name="Segoe UI">
    <w:panose1 w:val="020B0502040204020203"/>
    <w:charset w:val="00"/>
    <w:family w:val="swiss"/>
    <w:pitch w:val="variable"/>
    <w:sig w:usb0="E4002EFF" w:usb1="C000E47F" w:usb2="00000009" w:usb3="00000000" w:csb0="000001FF" w:csb1="00000000"/>
    <w:embedRegular r:id="rId10" w:fontKey="{95D32B09-0F23-4E57-863A-9DAB30C0991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06628"/>
      <w:docPartObj>
        <w:docPartGallery w:val="Page Numbers (Bottom of Page)"/>
        <w:docPartUnique/>
      </w:docPartObj>
    </w:sdtPr>
    <w:sdtEndPr>
      <w:rPr>
        <w:noProof/>
      </w:rPr>
    </w:sdtEndPr>
    <w:sdtContent>
      <w:p w14:paraId="128349C3" w14:textId="20E49020" w:rsidR="00866E21" w:rsidRDefault="00866E2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1EBAC7" w14:textId="77777777" w:rsidR="00866E21" w:rsidRDefault="00866E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342C0" w14:textId="77777777" w:rsidR="00B03030" w:rsidRDefault="00B03030" w:rsidP="005B1E3A">
      <w:r>
        <w:separator/>
      </w:r>
    </w:p>
  </w:footnote>
  <w:footnote w:type="continuationSeparator" w:id="0">
    <w:p w14:paraId="5CE065E7" w14:textId="77777777" w:rsidR="00B03030" w:rsidRDefault="00B03030" w:rsidP="005B1E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AC80A" w14:textId="4BA1E7EF" w:rsidR="00866E21" w:rsidRDefault="00866E21">
    <w:pPr>
      <w:pStyle w:val="Header"/>
    </w:pPr>
    <w:r>
      <w:rPr>
        <w:noProof/>
      </w:rPr>
      <w:drawing>
        <wp:inline distT="0" distB="0" distL="0" distR="0" wp14:anchorId="711E29E5" wp14:editId="2D3A229D">
          <wp:extent cx="3304869" cy="406400"/>
          <wp:effectExtent l="0" t="0" r="0" b="0"/>
          <wp:docPr id="1" name="Graphic 1" descr="California Community Colleg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c-logo-hfull-2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371158" cy="4145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240F"/>
    <w:multiLevelType w:val="hybridMultilevel"/>
    <w:tmpl w:val="1BD03E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86C7E"/>
    <w:multiLevelType w:val="hybridMultilevel"/>
    <w:tmpl w:val="B9E4E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B7030"/>
    <w:multiLevelType w:val="hybridMultilevel"/>
    <w:tmpl w:val="3CC0E3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9995ECD"/>
    <w:multiLevelType w:val="hybridMultilevel"/>
    <w:tmpl w:val="3E7A41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F75E4D"/>
    <w:multiLevelType w:val="hybridMultilevel"/>
    <w:tmpl w:val="163AEF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B557961"/>
    <w:multiLevelType w:val="hybridMultilevel"/>
    <w:tmpl w:val="8AA0C1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5624FC"/>
    <w:multiLevelType w:val="hybridMultilevel"/>
    <w:tmpl w:val="1AAA4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81E74D5"/>
    <w:multiLevelType w:val="hybridMultilevel"/>
    <w:tmpl w:val="E6D037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70023C"/>
    <w:multiLevelType w:val="hybridMultilevel"/>
    <w:tmpl w:val="C436D0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D34A94"/>
    <w:multiLevelType w:val="hybridMultilevel"/>
    <w:tmpl w:val="89CCC2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221415"/>
    <w:multiLevelType w:val="multilevel"/>
    <w:tmpl w:val="A03C85BC"/>
    <w:lvl w:ilvl="0">
      <w:start w:val="1"/>
      <w:numFmt w:val="decimal"/>
      <w:pStyle w:val="ListNumber"/>
      <w:lvlText w:val="%1."/>
      <w:lvlJc w:val="left"/>
      <w:pPr>
        <w:ind w:left="360" w:hanging="360"/>
      </w:pPr>
      <w:rPr>
        <w:rFonts w:asciiTheme="minorHAnsi" w:hAnsiTheme="minorHAnsi" w:hint="default"/>
        <w:b/>
        <w:i w:val="0"/>
        <w:color w:val="002F6D" w:themeColor="text1"/>
        <w:sz w:val="24"/>
      </w:rPr>
    </w:lvl>
    <w:lvl w:ilvl="1">
      <w:start w:val="1"/>
      <w:numFmt w:val="lowerLetter"/>
      <w:lvlText w:val="%2."/>
      <w:lvlJc w:val="left"/>
      <w:pPr>
        <w:ind w:left="720" w:hanging="360"/>
      </w:pPr>
      <w:rPr>
        <w:rFonts w:asciiTheme="minorHAnsi" w:hAnsiTheme="minorHAnsi" w:hint="default"/>
        <w:b/>
        <w:i w:val="0"/>
        <w:color w:val="002F6D" w:themeColor="text1"/>
        <w:sz w:val="24"/>
      </w:rPr>
    </w:lvl>
    <w:lvl w:ilvl="2">
      <w:start w:val="1"/>
      <w:numFmt w:val="lowerRoman"/>
      <w:lvlText w:val="%3."/>
      <w:lvlJc w:val="left"/>
      <w:pPr>
        <w:ind w:left="1080" w:hanging="360"/>
      </w:pPr>
      <w:rPr>
        <w:rFonts w:asciiTheme="minorHAnsi" w:hAnsiTheme="minorHAnsi" w:hint="default"/>
        <w:b/>
        <w:i w:val="0"/>
        <w:color w:val="002F6D" w:themeColor="text1"/>
        <w:sz w:val="24"/>
      </w:rPr>
    </w:lvl>
    <w:lvl w:ilvl="3">
      <w:start w:val="1"/>
      <w:numFmt w:val="decimal"/>
      <w:lvlText w:val="(%4)"/>
      <w:lvlJc w:val="left"/>
      <w:pPr>
        <w:ind w:left="1440" w:hanging="360"/>
      </w:pPr>
      <w:rPr>
        <w:rFonts w:asciiTheme="minorHAnsi" w:hAnsiTheme="minorHAnsi" w:hint="default"/>
        <w:b/>
        <w:i w:val="0"/>
        <w:color w:val="002F6D" w:themeColor="text1"/>
        <w:sz w:val="24"/>
      </w:rPr>
    </w:lvl>
    <w:lvl w:ilvl="4">
      <w:start w:val="1"/>
      <w:numFmt w:val="lowerLetter"/>
      <w:lvlText w:val="(%5)"/>
      <w:lvlJc w:val="left"/>
      <w:pPr>
        <w:ind w:left="1800" w:hanging="360"/>
      </w:pPr>
      <w:rPr>
        <w:rFonts w:asciiTheme="minorHAnsi" w:hAnsiTheme="minorHAnsi" w:hint="default"/>
        <w:b/>
        <w:i w:val="0"/>
        <w:color w:val="002F6D" w:themeColor="text1"/>
        <w:sz w:val="24"/>
      </w:rPr>
    </w:lvl>
    <w:lvl w:ilvl="5">
      <w:start w:val="1"/>
      <w:numFmt w:val="lowerRoman"/>
      <w:lvlText w:val="(%6)"/>
      <w:lvlJc w:val="left"/>
      <w:pPr>
        <w:ind w:left="2160" w:hanging="360"/>
      </w:pPr>
      <w:rPr>
        <w:rFonts w:asciiTheme="minorHAnsi" w:hAnsiTheme="minorHAnsi" w:hint="default"/>
        <w:b/>
        <w:i w:val="0"/>
        <w:color w:val="002F6D" w:themeColor="text1"/>
        <w:sz w:val="24"/>
      </w:rPr>
    </w:lvl>
    <w:lvl w:ilvl="6">
      <w:start w:val="1"/>
      <w:numFmt w:val="decimal"/>
      <w:lvlText w:val="%7."/>
      <w:lvlJc w:val="left"/>
      <w:pPr>
        <w:ind w:left="2520" w:hanging="360"/>
      </w:pPr>
      <w:rPr>
        <w:rFonts w:asciiTheme="minorHAnsi" w:hAnsiTheme="minorHAnsi" w:hint="default"/>
        <w:b/>
        <w:i w:val="0"/>
        <w:color w:val="002F6D" w:themeColor="text1"/>
        <w:sz w:val="24"/>
      </w:rPr>
    </w:lvl>
    <w:lvl w:ilvl="7">
      <w:start w:val="1"/>
      <w:numFmt w:val="lowerLetter"/>
      <w:lvlText w:val="%8."/>
      <w:lvlJc w:val="left"/>
      <w:pPr>
        <w:ind w:left="2880" w:hanging="360"/>
      </w:pPr>
      <w:rPr>
        <w:rFonts w:asciiTheme="minorHAnsi" w:hAnsiTheme="minorHAnsi" w:hint="default"/>
        <w:b/>
        <w:i w:val="0"/>
        <w:color w:val="002F6D" w:themeColor="text1"/>
        <w:sz w:val="24"/>
      </w:rPr>
    </w:lvl>
    <w:lvl w:ilvl="8">
      <w:start w:val="1"/>
      <w:numFmt w:val="lowerRoman"/>
      <w:lvlText w:val="%9."/>
      <w:lvlJc w:val="left"/>
      <w:pPr>
        <w:ind w:left="3240" w:hanging="360"/>
      </w:pPr>
      <w:rPr>
        <w:rFonts w:asciiTheme="minorHAnsi" w:hAnsiTheme="minorHAnsi" w:hint="default"/>
        <w:b/>
        <w:i w:val="0"/>
        <w:color w:val="002F6D" w:themeColor="text1"/>
        <w:sz w:val="24"/>
      </w:rPr>
    </w:lvl>
  </w:abstractNum>
  <w:abstractNum w:abstractNumId="11" w15:restartNumberingAfterBreak="0">
    <w:nsid w:val="25A84D07"/>
    <w:multiLevelType w:val="hybridMultilevel"/>
    <w:tmpl w:val="70865E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D3C19BD"/>
    <w:multiLevelType w:val="multilevel"/>
    <w:tmpl w:val="A6D4B61E"/>
    <w:lvl w:ilvl="0">
      <w:start w:val="1"/>
      <w:numFmt w:val="bullet"/>
      <w:pStyle w:val="ListBullet"/>
      <w:lvlText w:val=""/>
      <w:lvlJc w:val="left"/>
      <w:pPr>
        <w:ind w:left="360" w:hanging="360"/>
      </w:pPr>
      <w:rPr>
        <w:rFonts w:ascii="Symbol" w:hAnsi="Symbol" w:hint="default"/>
        <w:b w:val="0"/>
        <w:i w:val="0"/>
        <w:color w:val="002F6D" w:themeColor="text1"/>
      </w:rPr>
    </w:lvl>
    <w:lvl w:ilvl="1">
      <w:start w:val="1"/>
      <w:numFmt w:val="bullet"/>
      <w:lvlRestart w:val="0"/>
      <w:lvlText w:val=""/>
      <w:lvlJc w:val="left"/>
      <w:pPr>
        <w:ind w:left="720" w:hanging="360"/>
      </w:pPr>
      <w:rPr>
        <w:rFonts w:ascii="Wingdings" w:hAnsi="Wingdings" w:hint="default"/>
        <w:b w:val="0"/>
        <w:i w:val="0"/>
        <w:color w:val="002F6D" w:themeColor="text1"/>
      </w:rPr>
    </w:lvl>
    <w:lvl w:ilvl="2">
      <w:start w:val="1"/>
      <w:numFmt w:val="bullet"/>
      <w:lvlRestart w:val="0"/>
      <w:lvlText w:val=""/>
      <w:lvlJc w:val="left"/>
      <w:pPr>
        <w:ind w:left="1080" w:hanging="360"/>
      </w:pPr>
      <w:rPr>
        <w:rFonts w:ascii="Wingdings" w:hAnsi="Wingdings" w:hint="default"/>
        <w:color w:val="002F6D" w:themeColor="text1"/>
      </w:rPr>
    </w:lvl>
    <w:lvl w:ilvl="3">
      <w:start w:val="1"/>
      <w:numFmt w:val="bullet"/>
      <w:lvlText w:val=""/>
      <w:lvlJc w:val="left"/>
      <w:pPr>
        <w:ind w:left="1440" w:hanging="360"/>
      </w:pPr>
      <w:rPr>
        <w:rFonts w:ascii="Symbol" w:hAnsi="Symbol" w:hint="default"/>
        <w:color w:val="002F6D" w:themeColor="text1"/>
      </w:rPr>
    </w:lvl>
    <w:lvl w:ilvl="4">
      <w:start w:val="1"/>
      <w:numFmt w:val="bullet"/>
      <w:lvlText w:val=""/>
      <w:lvlJc w:val="left"/>
      <w:pPr>
        <w:ind w:left="1800" w:hanging="360"/>
      </w:pPr>
      <w:rPr>
        <w:rFonts w:ascii="Wingdings" w:hAnsi="Wingdings" w:hint="default"/>
        <w:color w:val="002F6D" w:themeColor="text1"/>
      </w:rPr>
    </w:lvl>
    <w:lvl w:ilvl="5">
      <w:start w:val="1"/>
      <w:numFmt w:val="bullet"/>
      <w:lvlText w:val=""/>
      <w:lvlJc w:val="left"/>
      <w:pPr>
        <w:ind w:left="2160" w:hanging="360"/>
      </w:pPr>
      <w:rPr>
        <w:rFonts w:ascii="Wingdings" w:hAnsi="Wingdings" w:hint="default"/>
        <w:color w:val="002F6D" w:themeColor="text1"/>
      </w:rPr>
    </w:lvl>
    <w:lvl w:ilvl="6">
      <w:start w:val="1"/>
      <w:numFmt w:val="bullet"/>
      <w:lvlText w:val=""/>
      <w:lvlJc w:val="left"/>
      <w:pPr>
        <w:ind w:left="2520" w:hanging="360"/>
      </w:pPr>
      <w:rPr>
        <w:rFonts w:ascii="Symbol" w:hAnsi="Symbol" w:hint="default"/>
        <w:color w:val="002F6D" w:themeColor="text1"/>
      </w:rPr>
    </w:lvl>
    <w:lvl w:ilvl="7">
      <w:start w:val="1"/>
      <w:numFmt w:val="bullet"/>
      <w:lvlText w:val=""/>
      <w:lvlJc w:val="left"/>
      <w:pPr>
        <w:ind w:left="2880" w:hanging="360"/>
      </w:pPr>
      <w:rPr>
        <w:rFonts w:ascii="Wingdings" w:hAnsi="Wingdings" w:hint="default"/>
        <w:color w:val="002F6D" w:themeColor="text1"/>
      </w:rPr>
    </w:lvl>
    <w:lvl w:ilvl="8">
      <w:start w:val="1"/>
      <w:numFmt w:val="bullet"/>
      <w:lvlText w:val=""/>
      <w:lvlJc w:val="left"/>
      <w:pPr>
        <w:ind w:left="3240" w:hanging="360"/>
      </w:pPr>
      <w:rPr>
        <w:rFonts w:ascii="Wingdings" w:hAnsi="Wingdings" w:hint="default"/>
        <w:color w:val="002F6D" w:themeColor="text1"/>
      </w:rPr>
    </w:lvl>
  </w:abstractNum>
  <w:abstractNum w:abstractNumId="13" w15:restartNumberingAfterBreak="0">
    <w:nsid w:val="305E361F"/>
    <w:multiLevelType w:val="hybridMultilevel"/>
    <w:tmpl w:val="2D1A93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5B80245"/>
    <w:multiLevelType w:val="hybridMultilevel"/>
    <w:tmpl w:val="EDF6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1B6D67"/>
    <w:multiLevelType w:val="hybridMultilevel"/>
    <w:tmpl w:val="981A9E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A235899"/>
    <w:multiLevelType w:val="hybridMultilevel"/>
    <w:tmpl w:val="3B4881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AF96CCB"/>
    <w:multiLevelType w:val="hybridMultilevel"/>
    <w:tmpl w:val="EC727E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F7A2FC9"/>
    <w:multiLevelType w:val="hybridMultilevel"/>
    <w:tmpl w:val="F0EC2A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519462EC"/>
    <w:multiLevelType w:val="hybridMultilevel"/>
    <w:tmpl w:val="83387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F41F9C"/>
    <w:multiLevelType w:val="hybridMultilevel"/>
    <w:tmpl w:val="1AAA46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071B7F"/>
    <w:multiLevelType w:val="hybridMultilevel"/>
    <w:tmpl w:val="269202A4"/>
    <w:lvl w:ilvl="0" w:tplc="E22414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3737426"/>
    <w:multiLevelType w:val="hybridMultilevel"/>
    <w:tmpl w:val="2D1A93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4AC572E"/>
    <w:multiLevelType w:val="hybridMultilevel"/>
    <w:tmpl w:val="8E1647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CC334C4"/>
    <w:multiLevelType w:val="hybridMultilevel"/>
    <w:tmpl w:val="F0EC2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917622"/>
    <w:multiLevelType w:val="hybridMultilevel"/>
    <w:tmpl w:val="A3522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17C0455"/>
    <w:multiLevelType w:val="hybridMultilevel"/>
    <w:tmpl w:val="D66EDF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71F40F0"/>
    <w:multiLevelType w:val="hybridMultilevel"/>
    <w:tmpl w:val="300A6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F96F7C"/>
    <w:multiLevelType w:val="hybridMultilevel"/>
    <w:tmpl w:val="8D206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12"/>
  </w:num>
  <w:num w:numId="3">
    <w:abstractNumId w:val="22"/>
  </w:num>
  <w:num w:numId="4">
    <w:abstractNumId w:val="23"/>
  </w:num>
  <w:num w:numId="5">
    <w:abstractNumId w:val="7"/>
  </w:num>
  <w:num w:numId="6">
    <w:abstractNumId w:val="1"/>
  </w:num>
  <w:num w:numId="7">
    <w:abstractNumId w:val="25"/>
  </w:num>
  <w:num w:numId="8">
    <w:abstractNumId w:val="4"/>
  </w:num>
  <w:num w:numId="9">
    <w:abstractNumId w:val="11"/>
  </w:num>
  <w:num w:numId="10">
    <w:abstractNumId w:val="14"/>
  </w:num>
  <w:num w:numId="11">
    <w:abstractNumId w:val="18"/>
  </w:num>
  <w:num w:numId="12">
    <w:abstractNumId w:val="2"/>
  </w:num>
  <w:num w:numId="13">
    <w:abstractNumId w:val="8"/>
  </w:num>
  <w:num w:numId="14">
    <w:abstractNumId w:val="27"/>
  </w:num>
  <w:num w:numId="15">
    <w:abstractNumId w:val="21"/>
  </w:num>
  <w:num w:numId="16">
    <w:abstractNumId w:val="0"/>
  </w:num>
  <w:num w:numId="17">
    <w:abstractNumId w:val="17"/>
  </w:num>
  <w:num w:numId="18">
    <w:abstractNumId w:val="13"/>
  </w:num>
  <w:num w:numId="19">
    <w:abstractNumId w:val="3"/>
  </w:num>
  <w:num w:numId="20">
    <w:abstractNumId w:val="24"/>
  </w:num>
  <w:num w:numId="21">
    <w:abstractNumId w:val="6"/>
  </w:num>
  <w:num w:numId="22">
    <w:abstractNumId w:val="20"/>
  </w:num>
  <w:num w:numId="23">
    <w:abstractNumId w:val="16"/>
  </w:num>
  <w:num w:numId="24">
    <w:abstractNumId w:val="15"/>
  </w:num>
  <w:num w:numId="25">
    <w:abstractNumId w:val="28"/>
  </w:num>
  <w:num w:numId="26">
    <w:abstractNumId w:val="5"/>
  </w:num>
  <w:num w:numId="27">
    <w:abstractNumId w:val="9"/>
  </w:num>
  <w:num w:numId="28">
    <w:abstractNumId w:val="26"/>
  </w:num>
  <w:num w:numId="29">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412"/>
    <w:rsid w:val="00003662"/>
    <w:rsid w:val="00004C62"/>
    <w:rsid w:val="0000689B"/>
    <w:rsid w:val="00013C27"/>
    <w:rsid w:val="00013FFA"/>
    <w:rsid w:val="000166B8"/>
    <w:rsid w:val="00027415"/>
    <w:rsid w:val="00033BCA"/>
    <w:rsid w:val="0003725C"/>
    <w:rsid w:val="000436A8"/>
    <w:rsid w:val="000469D6"/>
    <w:rsid w:val="00051D9C"/>
    <w:rsid w:val="0005466F"/>
    <w:rsid w:val="00055E12"/>
    <w:rsid w:val="000565C0"/>
    <w:rsid w:val="00073629"/>
    <w:rsid w:val="00082DAB"/>
    <w:rsid w:val="00083BDF"/>
    <w:rsid w:val="000841A2"/>
    <w:rsid w:val="000845D4"/>
    <w:rsid w:val="0009012E"/>
    <w:rsid w:val="00094433"/>
    <w:rsid w:val="000C1298"/>
    <w:rsid w:val="000C4798"/>
    <w:rsid w:val="000D12C1"/>
    <w:rsid w:val="000D16CF"/>
    <w:rsid w:val="000D2F62"/>
    <w:rsid w:val="000D79DD"/>
    <w:rsid w:val="000E0BB3"/>
    <w:rsid w:val="000E38C4"/>
    <w:rsid w:val="000E5299"/>
    <w:rsid w:val="000F1B3F"/>
    <w:rsid w:val="00102B52"/>
    <w:rsid w:val="00117EA1"/>
    <w:rsid w:val="001219A2"/>
    <w:rsid w:val="0012291A"/>
    <w:rsid w:val="00163B4B"/>
    <w:rsid w:val="00165945"/>
    <w:rsid w:val="00172A3D"/>
    <w:rsid w:val="00175DDC"/>
    <w:rsid w:val="00176F6E"/>
    <w:rsid w:val="00191144"/>
    <w:rsid w:val="001929E7"/>
    <w:rsid w:val="001960A7"/>
    <w:rsid w:val="001A06D7"/>
    <w:rsid w:val="001A3267"/>
    <w:rsid w:val="001A4FCA"/>
    <w:rsid w:val="001A5338"/>
    <w:rsid w:val="001C4839"/>
    <w:rsid w:val="001C763E"/>
    <w:rsid w:val="001D63ED"/>
    <w:rsid w:val="001E617F"/>
    <w:rsid w:val="001E7693"/>
    <w:rsid w:val="001F6D70"/>
    <w:rsid w:val="00202ABA"/>
    <w:rsid w:val="00203814"/>
    <w:rsid w:val="00206BED"/>
    <w:rsid w:val="00206E7E"/>
    <w:rsid w:val="002070DF"/>
    <w:rsid w:val="00212E0F"/>
    <w:rsid w:val="00226806"/>
    <w:rsid w:val="0022719D"/>
    <w:rsid w:val="0023132C"/>
    <w:rsid w:val="002334EF"/>
    <w:rsid w:val="0026182C"/>
    <w:rsid w:val="00262233"/>
    <w:rsid w:val="00264324"/>
    <w:rsid w:val="00266712"/>
    <w:rsid w:val="002673B3"/>
    <w:rsid w:val="0027769B"/>
    <w:rsid w:val="00280886"/>
    <w:rsid w:val="00291A49"/>
    <w:rsid w:val="00293214"/>
    <w:rsid w:val="002968DF"/>
    <w:rsid w:val="00296949"/>
    <w:rsid w:val="002A6236"/>
    <w:rsid w:val="002A6AB8"/>
    <w:rsid w:val="002B3B25"/>
    <w:rsid w:val="002B462B"/>
    <w:rsid w:val="002B57B0"/>
    <w:rsid w:val="002B684F"/>
    <w:rsid w:val="002C100B"/>
    <w:rsid w:val="002C3227"/>
    <w:rsid w:val="002C32C2"/>
    <w:rsid w:val="002C4B17"/>
    <w:rsid w:val="002C693F"/>
    <w:rsid w:val="002C6FBF"/>
    <w:rsid w:val="002E07E1"/>
    <w:rsid w:val="002E0F2F"/>
    <w:rsid w:val="002F3F7E"/>
    <w:rsid w:val="002F5F78"/>
    <w:rsid w:val="0030354E"/>
    <w:rsid w:val="00304F9D"/>
    <w:rsid w:val="0030514C"/>
    <w:rsid w:val="003060BD"/>
    <w:rsid w:val="00310276"/>
    <w:rsid w:val="003109EB"/>
    <w:rsid w:val="0031217F"/>
    <w:rsid w:val="00322C71"/>
    <w:rsid w:val="00327967"/>
    <w:rsid w:val="003314E1"/>
    <w:rsid w:val="003352EA"/>
    <w:rsid w:val="0033700C"/>
    <w:rsid w:val="0033711A"/>
    <w:rsid w:val="00363375"/>
    <w:rsid w:val="00372F6B"/>
    <w:rsid w:val="00380332"/>
    <w:rsid w:val="00380F45"/>
    <w:rsid w:val="00382831"/>
    <w:rsid w:val="00384759"/>
    <w:rsid w:val="0039003D"/>
    <w:rsid w:val="003917C2"/>
    <w:rsid w:val="003956D4"/>
    <w:rsid w:val="003A08AD"/>
    <w:rsid w:val="003A1473"/>
    <w:rsid w:val="003A4859"/>
    <w:rsid w:val="003A4930"/>
    <w:rsid w:val="003B5A76"/>
    <w:rsid w:val="003B5E91"/>
    <w:rsid w:val="003C1871"/>
    <w:rsid w:val="003C283B"/>
    <w:rsid w:val="003C54C9"/>
    <w:rsid w:val="003D09E2"/>
    <w:rsid w:val="003D2412"/>
    <w:rsid w:val="003D28D9"/>
    <w:rsid w:val="003E18EE"/>
    <w:rsid w:val="003E6AAD"/>
    <w:rsid w:val="003F190C"/>
    <w:rsid w:val="003F2931"/>
    <w:rsid w:val="003F6460"/>
    <w:rsid w:val="00401AF6"/>
    <w:rsid w:val="004130E9"/>
    <w:rsid w:val="00420184"/>
    <w:rsid w:val="00445983"/>
    <w:rsid w:val="0045568C"/>
    <w:rsid w:val="00493D84"/>
    <w:rsid w:val="00496488"/>
    <w:rsid w:val="004A19A7"/>
    <w:rsid w:val="004A57CE"/>
    <w:rsid w:val="004A776E"/>
    <w:rsid w:val="004A7FA7"/>
    <w:rsid w:val="004B7ABB"/>
    <w:rsid w:val="004C6DCE"/>
    <w:rsid w:val="004C7CCD"/>
    <w:rsid w:val="004E5F05"/>
    <w:rsid w:val="004F1838"/>
    <w:rsid w:val="004F51DE"/>
    <w:rsid w:val="00510AAB"/>
    <w:rsid w:val="0051158F"/>
    <w:rsid w:val="005121AF"/>
    <w:rsid w:val="00517424"/>
    <w:rsid w:val="00520B82"/>
    <w:rsid w:val="00521FB1"/>
    <w:rsid w:val="00526329"/>
    <w:rsid w:val="005311EE"/>
    <w:rsid w:val="005352E8"/>
    <w:rsid w:val="00536FAD"/>
    <w:rsid w:val="00541B5B"/>
    <w:rsid w:val="005444DA"/>
    <w:rsid w:val="00553F05"/>
    <w:rsid w:val="005725FD"/>
    <w:rsid w:val="005733C6"/>
    <w:rsid w:val="005745E5"/>
    <w:rsid w:val="005803C8"/>
    <w:rsid w:val="00580C89"/>
    <w:rsid w:val="005857BE"/>
    <w:rsid w:val="0058708A"/>
    <w:rsid w:val="00587A8D"/>
    <w:rsid w:val="005952F8"/>
    <w:rsid w:val="00597E61"/>
    <w:rsid w:val="005A2D1E"/>
    <w:rsid w:val="005A49C8"/>
    <w:rsid w:val="005A7407"/>
    <w:rsid w:val="005B05A3"/>
    <w:rsid w:val="005B1E3A"/>
    <w:rsid w:val="005B2008"/>
    <w:rsid w:val="005B4D22"/>
    <w:rsid w:val="005C3401"/>
    <w:rsid w:val="005D039F"/>
    <w:rsid w:val="005D085F"/>
    <w:rsid w:val="005D76C9"/>
    <w:rsid w:val="005E0C09"/>
    <w:rsid w:val="005F373B"/>
    <w:rsid w:val="00600565"/>
    <w:rsid w:val="006030D5"/>
    <w:rsid w:val="00607116"/>
    <w:rsid w:val="00607BD1"/>
    <w:rsid w:val="00612A0E"/>
    <w:rsid w:val="00620644"/>
    <w:rsid w:val="00627363"/>
    <w:rsid w:val="0063506B"/>
    <w:rsid w:val="0063506E"/>
    <w:rsid w:val="006354A8"/>
    <w:rsid w:val="00635CD1"/>
    <w:rsid w:val="006376B2"/>
    <w:rsid w:val="006410C1"/>
    <w:rsid w:val="006507A0"/>
    <w:rsid w:val="006626EB"/>
    <w:rsid w:val="00662E3A"/>
    <w:rsid w:val="00667051"/>
    <w:rsid w:val="00670EBA"/>
    <w:rsid w:val="00672B98"/>
    <w:rsid w:val="006754F0"/>
    <w:rsid w:val="00676E12"/>
    <w:rsid w:val="00676FCB"/>
    <w:rsid w:val="0068024F"/>
    <w:rsid w:val="00682730"/>
    <w:rsid w:val="00684BF9"/>
    <w:rsid w:val="00695C49"/>
    <w:rsid w:val="0069639D"/>
    <w:rsid w:val="006B2C55"/>
    <w:rsid w:val="006C039B"/>
    <w:rsid w:val="006C0D83"/>
    <w:rsid w:val="006C7E4D"/>
    <w:rsid w:val="006D1FDF"/>
    <w:rsid w:val="006D5EEF"/>
    <w:rsid w:val="006E0912"/>
    <w:rsid w:val="006E20BE"/>
    <w:rsid w:val="006F2328"/>
    <w:rsid w:val="00701B9B"/>
    <w:rsid w:val="00705F24"/>
    <w:rsid w:val="00706280"/>
    <w:rsid w:val="00721AE6"/>
    <w:rsid w:val="0073221E"/>
    <w:rsid w:val="00735A55"/>
    <w:rsid w:val="00735BAB"/>
    <w:rsid w:val="0074063A"/>
    <w:rsid w:val="00741D1F"/>
    <w:rsid w:val="0074556D"/>
    <w:rsid w:val="007456C5"/>
    <w:rsid w:val="00754307"/>
    <w:rsid w:val="00756FEC"/>
    <w:rsid w:val="00772DAF"/>
    <w:rsid w:val="007763EF"/>
    <w:rsid w:val="007827B2"/>
    <w:rsid w:val="007864B0"/>
    <w:rsid w:val="00786947"/>
    <w:rsid w:val="007872E2"/>
    <w:rsid w:val="00797956"/>
    <w:rsid w:val="007A1F16"/>
    <w:rsid w:val="007A3281"/>
    <w:rsid w:val="007A5A98"/>
    <w:rsid w:val="007B1A8C"/>
    <w:rsid w:val="007C107F"/>
    <w:rsid w:val="007C18ED"/>
    <w:rsid w:val="007C1CF2"/>
    <w:rsid w:val="007C66E4"/>
    <w:rsid w:val="007D5B24"/>
    <w:rsid w:val="007D5CD6"/>
    <w:rsid w:val="007F036C"/>
    <w:rsid w:val="007F1A04"/>
    <w:rsid w:val="008031ED"/>
    <w:rsid w:val="00823799"/>
    <w:rsid w:val="008302C3"/>
    <w:rsid w:val="00844B3E"/>
    <w:rsid w:val="00846077"/>
    <w:rsid w:val="00846F90"/>
    <w:rsid w:val="008501F5"/>
    <w:rsid w:val="0086041C"/>
    <w:rsid w:val="00861927"/>
    <w:rsid w:val="00865AD5"/>
    <w:rsid w:val="00866E21"/>
    <w:rsid w:val="00867898"/>
    <w:rsid w:val="00867E77"/>
    <w:rsid w:val="0087180C"/>
    <w:rsid w:val="00872CFD"/>
    <w:rsid w:val="00876CB0"/>
    <w:rsid w:val="00891E52"/>
    <w:rsid w:val="00895246"/>
    <w:rsid w:val="008A2619"/>
    <w:rsid w:val="008A2777"/>
    <w:rsid w:val="008A2BF5"/>
    <w:rsid w:val="008B1979"/>
    <w:rsid w:val="008B232B"/>
    <w:rsid w:val="008B4086"/>
    <w:rsid w:val="008B77C9"/>
    <w:rsid w:val="008C03C5"/>
    <w:rsid w:val="008D069A"/>
    <w:rsid w:val="008D14DA"/>
    <w:rsid w:val="008D418D"/>
    <w:rsid w:val="008D6A86"/>
    <w:rsid w:val="008E40C7"/>
    <w:rsid w:val="008E6659"/>
    <w:rsid w:val="008E6DAC"/>
    <w:rsid w:val="008F5636"/>
    <w:rsid w:val="00901B54"/>
    <w:rsid w:val="00904EB8"/>
    <w:rsid w:val="00906119"/>
    <w:rsid w:val="00907519"/>
    <w:rsid w:val="00907CFA"/>
    <w:rsid w:val="0091186C"/>
    <w:rsid w:val="00913721"/>
    <w:rsid w:val="0091673C"/>
    <w:rsid w:val="00930BBC"/>
    <w:rsid w:val="00931D5A"/>
    <w:rsid w:val="00933EDB"/>
    <w:rsid w:val="00936CA4"/>
    <w:rsid w:val="00947A75"/>
    <w:rsid w:val="009560A0"/>
    <w:rsid w:val="0096477E"/>
    <w:rsid w:val="00965B94"/>
    <w:rsid w:val="00965DB4"/>
    <w:rsid w:val="009661E7"/>
    <w:rsid w:val="00971906"/>
    <w:rsid w:val="00994E4D"/>
    <w:rsid w:val="0099533E"/>
    <w:rsid w:val="009B207F"/>
    <w:rsid w:val="009B3507"/>
    <w:rsid w:val="009B6CD5"/>
    <w:rsid w:val="009B7B4C"/>
    <w:rsid w:val="009C43A7"/>
    <w:rsid w:val="009D0E00"/>
    <w:rsid w:val="009D4945"/>
    <w:rsid w:val="009E5EF9"/>
    <w:rsid w:val="009E5FCA"/>
    <w:rsid w:val="009F00C8"/>
    <w:rsid w:val="009F1F18"/>
    <w:rsid w:val="009F48AA"/>
    <w:rsid w:val="00A00134"/>
    <w:rsid w:val="00A2178E"/>
    <w:rsid w:val="00A366EA"/>
    <w:rsid w:val="00A426C5"/>
    <w:rsid w:val="00A427DC"/>
    <w:rsid w:val="00A51FA5"/>
    <w:rsid w:val="00A61FF5"/>
    <w:rsid w:val="00A70B22"/>
    <w:rsid w:val="00A731EA"/>
    <w:rsid w:val="00A7454C"/>
    <w:rsid w:val="00A74F6B"/>
    <w:rsid w:val="00A81CD7"/>
    <w:rsid w:val="00A90B7C"/>
    <w:rsid w:val="00A93226"/>
    <w:rsid w:val="00A9363A"/>
    <w:rsid w:val="00AA1BC9"/>
    <w:rsid w:val="00AA1FFA"/>
    <w:rsid w:val="00AA6B6F"/>
    <w:rsid w:val="00AB0758"/>
    <w:rsid w:val="00AB1816"/>
    <w:rsid w:val="00AB203B"/>
    <w:rsid w:val="00AB422D"/>
    <w:rsid w:val="00AC1F2D"/>
    <w:rsid w:val="00AD2EBB"/>
    <w:rsid w:val="00AD4921"/>
    <w:rsid w:val="00AD6C54"/>
    <w:rsid w:val="00AE0896"/>
    <w:rsid w:val="00AE77D9"/>
    <w:rsid w:val="00AF10B3"/>
    <w:rsid w:val="00AF4811"/>
    <w:rsid w:val="00AF7C0A"/>
    <w:rsid w:val="00B01283"/>
    <w:rsid w:val="00B03030"/>
    <w:rsid w:val="00B03F46"/>
    <w:rsid w:val="00B04999"/>
    <w:rsid w:val="00B10A5F"/>
    <w:rsid w:val="00B14CB4"/>
    <w:rsid w:val="00B156C0"/>
    <w:rsid w:val="00B21E7E"/>
    <w:rsid w:val="00B33910"/>
    <w:rsid w:val="00B4058B"/>
    <w:rsid w:val="00B55DF4"/>
    <w:rsid w:val="00B60AA4"/>
    <w:rsid w:val="00B617BB"/>
    <w:rsid w:val="00B64EE8"/>
    <w:rsid w:val="00B6520B"/>
    <w:rsid w:val="00B70136"/>
    <w:rsid w:val="00B7340F"/>
    <w:rsid w:val="00B742F0"/>
    <w:rsid w:val="00B825DE"/>
    <w:rsid w:val="00B90187"/>
    <w:rsid w:val="00B9135D"/>
    <w:rsid w:val="00B959E5"/>
    <w:rsid w:val="00B966F7"/>
    <w:rsid w:val="00B967E7"/>
    <w:rsid w:val="00BA36AD"/>
    <w:rsid w:val="00BA3CEA"/>
    <w:rsid w:val="00BA3D81"/>
    <w:rsid w:val="00BB32E7"/>
    <w:rsid w:val="00BB7281"/>
    <w:rsid w:val="00BB72C4"/>
    <w:rsid w:val="00BB7B9F"/>
    <w:rsid w:val="00BC293B"/>
    <w:rsid w:val="00BC564F"/>
    <w:rsid w:val="00BC69C9"/>
    <w:rsid w:val="00BC6C9B"/>
    <w:rsid w:val="00BC7373"/>
    <w:rsid w:val="00BE239B"/>
    <w:rsid w:val="00BE26AF"/>
    <w:rsid w:val="00C02371"/>
    <w:rsid w:val="00C02405"/>
    <w:rsid w:val="00C075E9"/>
    <w:rsid w:val="00C339CC"/>
    <w:rsid w:val="00C36B7D"/>
    <w:rsid w:val="00C404BE"/>
    <w:rsid w:val="00C457AC"/>
    <w:rsid w:val="00C50A7B"/>
    <w:rsid w:val="00C55E9D"/>
    <w:rsid w:val="00C565D8"/>
    <w:rsid w:val="00C62845"/>
    <w:rsid w:val="00C64826"/>
    <w:rsid w:val="00C703FC"/>
    <w:rsid w:val="00C7390C"/>
    <w:rsid w:val="00C94874"/>
    <w:rsid w:val="00CA47ED"/>
    <w:rsid w:val="00CA51A0"/>
    <w:rsid w:val="00CA730A"/>
    <w:rsid w:val="00CB07D7"/>
    <w:rsid w:val="00CB3119"/>
    <w:rsid w:val="00CB3A39"/>
    <w:rsid w:val="00CB670C"/>
    <w:rsid w:val="00CC307A"/>
    <w:rsid w:val="00CC5694"/>
    <w:rsid w:val="00CD129F"/>
    <w:rsid w:val="00CE397A"/>
    <w:rsid w:val="00D00996"/>
    <w:rsid w:val="00D020ED"/>
    <w:rsid w:val="00D1276F"/>
    <w:rsid w:val="00D26762"/>
    <w:rsid w:val="00D34740"/>
    <w:rsid w:val="00D34FC4"/>
    <w:rsid w:val="00D35FBF"/>
    <w:rsid w:val="00D360E1"/>
    <w:rsid w:val="00D36231"/>
    <w:rsid w:val="00D40E2B"/>
    <w:rsid w:val="00D44737"/>
    <w:rsid w:val="00D44DF9"/>
    <w:rsid w:val="00D45BB6"/>
    <w:rsid w:val="00D542CF"/>
    <w:rsid w:val="00D55743"/>
    <w:rsid w:val="00D55DF3"/>
    <w:rsid w:val="00D600E7"/>
    <w:rsid w:val="00D627E1"/>
    <w:rsid w:val="00D67708"/>
    <w:rsid w:val="00D74653"/>
    <w:rsid w:val="00D76B0B"/>
    <w:rsid w:val="00D77034"/>
    <w:rsid w:val="00D900E1"/>
    <w:rsid w:val="00DB3209"/>
    <w:rsid w:val="00DB7095"/>
    <w:rsid w:val="00DC3AF1"/>
    <w:rsid w:val="00DC4344"/>
    <w:rsid w:val="00DD3B23"/>
    <w:rsid w:val="00DE0FC2"/>
    <w:rsid w:val="00DF1CA6"/>
    <w:rsid w:val="00DF3582"/>
    <w:rsid w:val="00E022B2"/>
    <w:rsid w:val="00E054AC"/>
    <w:rsid w:val="00E124BF"/>
    <w:rsid w:val="00E16D32"/>
    <w:rsid w:val="00E23FC3"/>
    <w:rsid w:val="00E33F29"/>
    <w:rsid w:val="00E34B49"/>
    <w:rsid w:val="00E51412"/>
    <w:rsid w:val="00E5318C"/>
    <w:rsid w:val="00E60A1B"/>
    <w:rsid w:val="00E61070"/>
    <w:rsid w:val="00E61730"/>
    <w:rsid w:val="00E61F4B"/>
    <w:rsid w:val="00E6333F"/>
    <w:rsid w:val="00E63D4B"/>
    <w:rsid w:val="00E74A10"/>
    <w:rsid w:val="00E76BDE"/>
    <w:rsid w:val="00E77E4B"/>
    <w:rsid w:val="00E80995"/>
    <w:rsid w:val="00E826DD"/>
    <w:rsid w:val="00E86865"/>
    <w:rsid w:val="00E97277"/>
    <w:rsid w:val="00EA09EF"/>
    <w:rsid w:val="00EA21F6"/>
    <w:rsid w:val="00EA6E77"/>
    <w:rsid w:val="00ED0CDE"/>
    <w:rsid w:val="00ED1689"/>
    <w:rsid w:val="00ED17AD"/>
    <w:rsid w:val="00EE37D0"/>
    <w:rsid w:val="00EE742B"/>
    <w:rsid w:val="00EF1CC9"/>
    <w:rsid w:val="00EF2CD1"/>
    <w:rsid w:val="00EF6CA8"/>
    <w:rsid w:val="00F12564"/>
    <w:rsid w:val="00F13703"/>
    <w:rsid w:val="00F14F4D"/>
    <w:rsid w:val="00F15BB3"/>
    <w:rsid w:val="00F160D4"/>
    <w:rsid w:val="00F169BA"/>
    <w:rsid w:val="00F2538E"/>
    <w:rsid w:val="00F2683C"/>
    <w:rsid w:val="00F26B26"/>
    <w:rsid w:val="00F278B9"/>
    <w:rsid w:val="00F30F53"/>
    <w:rsid w:val="00F31A29"/>
    <w:rsid w:val="00F3528C"/>
    <w:rsid w:val="00F41C02"/>
    <w:rsid w:val="00F4349A"/>
    <w:rsid w:val="00F5383D"/>
    <w:rsid w:val="00F55268"/>
    <w:rsid w:val="00F5685C"/>
    <w:rsid w:val="00F56E15"/>
    <w:rsid w:val="00F62EA0"/>
    <w:rsid w:val="00F63A60"/>
    <w:rsid w:val="00F653D4"/>
    <w:rsid w:val="00F67682"/>
    <w:rsid w:val="00F739A2"/>
    <w:rsid w:val="00F76CA4"/>
    <w:rsid w:val="00F804EC"/>
    <w:rsid w:val="00F818D3"/>
    <w:rsid w:val="00F81BFC"/>
    <w:rsid w:val="00F8429D"/>
    <w:rsid w:val="00F93C5D"/>
    <w:rsid w:val="00F93E47"/>
    <w:rsid w:val="00F95725"/>
    <w:rsid w:val="00F97B45"/>
    <w:rsid w:val="00FA0E10"/>
    <w:rsid w:val="00FA44A8"/>
    <w:rsid w:val="00FB2D91"/>
    <w:rsid w:val="00FB7FAA"/>
    <w:rsid w:val="00FD1331"/>
    <w:rsid w:val="00FD153B"/>
    <w:rsid w:val="00FE1B6A"/>
    <w:rsid w:val="00FE3882"/>
    <w:rsid w:val="00FF06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2696A7"/>
  <w15:chartTrackingRefBased/>
  <w15:docId w15:val="{1E6AD543-C31D-414B-8B1A-A8BBA76B8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55759" w:themeColor="text2"/>
        <w:sz w:val="24"/>
        <w:szCs w:val="24"/>
        <w:lang w:val="en-US" w:eastAsia="en-US" w:bidi="ar-SA"/>
      </w:rPr>
    </w:rPrDefault>
    <w:pPrDefault>
      <w:pPr>
        <w:spacing w:after="16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semiHidden="1" w:uiPriority="9"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10" w:unhideWhenUsed="1" w:qFormat="1"/>
    <w:lsdException w:name="List Number" w:locked="0"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locked="0" w:uiPriority="11"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D6A86"/>
    <w:pPr>
      <w:suppressAutoHyphens/>
      <w:spacing w:after="60" w:line="240" w:lineRule="auto"/>
    </w:pPr>
    <w:rPr>
      <w:rFonts w:ascii="Source Sans Pro" w:eastAsia="Calibri" w:hAnsi="Source Sans Pro"/>
      <w:spacing w:val="4"/>
    </w:rPr>
  </w:style>
  <w:style w:type="paragraph" w:styleId="Heading1">
    <w:name w:val="heading 1"/>
    <w:basedOn w:val="Normal"/>
    <w:next w:val="Normal"/>
    <w:link w:val="Heading1Char"/>
    <w:uiPriority w:val="9"/>
    <w:qFormat/>
    <w:rsid w:val="002A6AB8"/>
    <w:pPr>
      <w:keepNext/>
      <w:keepLines/>
      <w:spacing w:before="240" w:after="0"/>
      <w:outlineLvl w:val="0"/>
    </w:pPr>
    <w:rPr>
      <w:rFonts w:ascii="Crimson" w:eastAsiaTheme="majorEastAsia" w:hAnsi="Crimson" w:cstheme="majorBidi"/>
      <w:b/>
      <w:color w:val="002F6D"/>
      <w:spacing w:val="10"/>
      <w:kern w:val="32"/>
      <w:sz w:val="32"/>
      <w:szCs w:val="32"/>
    </w:rPr>
  </w:style>
  <w:style w:type="paragraph" w:styleId="Heading2">
    <w:name w:val="heading 2"/>
    <w:basedOn w:val="Normal"/>
    <w:next w:val="Normal"/>
    <w:link w:val="Heading2Char"/>
    <w:uiPriority w:val="9"/>
    <w:unhideWhenUsed/>
    <w:qFormat/>
    <w:rsid w:val="008C03C5"/>
    <w:pPr>
      <w:keepNext/>
      <w:keepLines/>
      <w:spacing w:before="360" w:after="0"/>
      <w:outlineLvl w:val="1"/>
    </w:pPr>
    <w:rPr>
      <w:rFonts w:ascii="Source Sans Pro SemiBold" w:eastAsiaTheme="majorEastAsia" w:hAnsi="Source Sans Pro SemiBold" w:cstheme="majorBidi"/>
      <w:caps/>
      <w:color w:val="0066BA" w:themeColor="background2"/>
      <w:spacing w:val="8"/>
      <w:sz w:val="28"/>
      <w:szCs w:val="26"/>
    </w:rPr>
  </w:style>
  <w:style w:type="paragraph" w:styleId="Heading3">
    <w:name w:val="heading 3"/>
    <w:basedOn w:val="Normal"/>
    <w:next w:val="Normal"/>
    <w:link w:val="Heading3Char"/>
    <w:uiPriority w:val="9"/>
    <w:unhideWhenUsed/>
    <w:qFormat/>
    <w:rsid w:val="00FE1B6A"/>
    <w:pPr>
      <w:keepNext/>
      <w:keepLines/>
      <w:spacing w:before="240" w:after="0"/>
      <w:outlineLvl w:val="2"/>
    </w:pPr>
    <w:rPr>
      <w:rFonts w:ascii="Source Sans Pro SemiBold" w:eastAsiaTheme="majorEastAsia" w:hAnsi="Source Sans Pro SemiBold" w:cstheme="majorBidi"/>
      <w:spacing w:val="8"/>
      <w:sz w:val="28"/>
    </w:rPr>
  </w:style>
  <w:style w:type="paragraph" w:styleId="Heading4">
    <w:name w:val="heading 4"/>
    <w:basedOn w:val="Normal"/>
    <w:next w:val="Normal"/>
    <w:link w:val="Heading4Char"/>
    <w:uiPriority w:val="9"/>
    <w:unhideWhenUsed/>
    <w:qFormat/>
    <w:rsid w:val="00FE1B6A"/>
    <w:pPr>
      <w:keepNext/>
      <w:keepLines/>
      <w:spacing w:before="240" w:after="0"/>
      <w:outlineLvl w:val="3"/>
    </w:pPr>
    <w:rPr>
      <w:rFonts w:ascii="Source Sans Pro SemiBold" w:eastAsiaTheme="majorEastAsia" w:hAnsi="Source Sans Pro SemiBold" w:cstheme="majorBidi"/>
      <w:iCs/>
      <w:color w:val="002F6D" w:themeColor="text1"/>
      <w:spacing w:val="8"/>
      <w:sz w:val="26"/>
    </w:rPr>
  </w:style>
  <w:style w:type="paragraph" w:styleId="Heading5">
    <w:name w:val="heading 5"/>
    <w:basedOn w:val="Normal"/>
    <w:next w:val="Normal"/>
    <w:link w:val="Heading5Char"/>
    <w:uiPriority w:val="9"/>
    <w:unhideWhenUsed/>
    <w:qFormat/>
    <w:rsid w:val="00FE1B6A"/>
    <w:pPr>
      <w:keepNext/>
      <w:keepLines/>
      <w:spacing w:before="240" w:after="0"/>
      <w:outlineLvl w:val="4"/>
    </w:pPr>
    <w:rPr>
      <w:rFonts w:ascii="Source Sans Pro SemiBold" w:eastAsiaTheme="majorEastAsia" w:hAnsi="Source Sans Pro SemiBold" w:cstheme="majorBidi"/>
      <w:color w:val="0066BA" w:themeColor="background2"/>
      <w:spacing w:val="8"/>
      <w:sz w:val="26"/>
    </w:rPr>
  </w:style>
  <w:style w:type="paragraph" w:styleId="Heading6">
    <w:name w:val="heading 6"/>
    <w:basedOn w:val="Normal"/>
    <w:next w:val="Normal"/>
    <w:link w:val="Heading6Char"/>
    <w:uiPriority w:val="9"/>
    <w:unhideWhenUsed/>
    <w:qFormat/>
    <w:locked/>
    <w:rsid w:val="00FE1B6A"/>
    <w:pPr>
      <w:keepNext/>
      <w:keepLines/>
      <w:spacing w:before="240" w:after="0"/>
      <w:outlineLvl w:val="5"/>
    </w:pPr>
    <w:rPr>
      <w:rFonts w:ascii="Source Sans Pro SemiBold" w:eastAsiaTheme="majorEastAsia" w:hAnsi="Source Sans Pro SemiBold" w:cstheme="majorBidi"/>
      <w:color w:val="555759"/>
      <w:spacing w:val="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1B6A"/>
    <w:rPr>
      <w:rFonts w:ascii="Source Sans Pro SemiBold" w:eastAsiaTheme="majorEastAsia" w:hAnsi="Source Sans Pro SemiBold" w:cstheme="majorBidi"/>
      <w:color w:val="555759"/>
      <w:spacing w:val="8"/>
    </w:rPr>
  </w:style>
  <w:style w:type="paragraph" w:styleId="FootnoteText">
    <w:name w:val="footnote text"/>
    <w:basedOn w:val="Normal"/>
    <w:link w:val="FootnoteTextChar"/>
    <w:uiPriority w:val="99"/>
    <w:locked/>
    <w:rsid w:val="00520B82"/>
    <w:pPr>
      <w:spacing w:after="0"/>
      <w:ind w:left="115" w:hanging="115"/>
    </w:pPr>
    <w:rPr>
      <w:sz w:val="18"/>
      <w:szCs w:val="20"/>
    </w:rPr>
  </w:style>
  <w:style w:type="paragraph" w:customStyle="1" w:styleId="TableHeaders">
    <w:name w:val="Table Headers"/>
    <w:basedOn w:val="Normal"/>
    <w:link w:val="TableHeadersChar"/>
    <w:qFormat/>
    <w:rsid w:val="0005466F"/>
    <w:pPr>
      <w:spacing w:before="120"/>
      <w:ind w:left="144"/>
    </w:pPr>
    <w:rPr>
      <w:rFonts w:ascii="Source Sans Pro SemiBold" w:hAnsi="Source Sans Pro SemiBold"/>
      <w:b/>
      <w:color w:val="FFFFFF"/>
    </w:rPr>
  </w:style>
  <w:style w:type="character" w:customStyle="1" w:styleId="TableHeadersChar">
    <w:name w:val="Table Headers Char"/>
    <w:basedOn w:val="DefaultParagraphFont"/>
    <w:link w:val="TableHeaders"/>
    <w:rsid w:val="0005466F"/>
    <w:rPr>
      <w:rFonts w:ascii="Source Sans Pro SemiBold" w:eastAsia="Calibri" w:hAnsi="Source Sans Pro SemiBold"/>
      <w:b/>
      <w:color w:val="FFFFFF"/>
      <w:spacing w:val="4"/>
    </w:rPr>
  </w:style>
  <w:style w:type="character" w:customStyle="1" w:styleId="Heading1Char">
    <w:name w:val="Heading 1 Char"/>
    <w:basedOn w:val="DefaultParagraphFont"/>
    <w:link w:val="Heading1"/>
    <w:uiPriority w:val="9"/>
    <w:rsid w:val="002A6AB8"/>
    <w:rPr>
      <w:rFonts w:ascii="Crimson" w:eastAsiaTheme="majorEastAsia" w:hAnsi="Crimson" w:cstheme="majorBidi"/>
      <w:b/>
      <w:color w:val="002F6D"/>
      <w:spacing w:val="10"/>
      <w:kern w:val="32"/>
      <w:sz w:val="32"/>
      <w:szCs w:val="32"/>
    </w:rPr>
  </w:style>
  <w:style w:type="character" w:customStyle="1" w:styleId="Heading2Char">
    <w:name w:val="Heading 2 Char"/>
    <w:basedOn w:val="DefaultParagraphFont"/>
    <w:link w:val="Heading2"/>
    <w:uiPriority w:val="9"/>
    <w:rsid w:val="008C03C5"/>
    <w:rPr>
      <w:rFonts w:ascii="Source Sans Pro SemiBold" w:eastAsiaTheme="majorEastAsia" w:hAnsi="Source Sans Pro SemiBold" w:cstheme="majorBidi"/>
      <w:caps/>
      <w:color w:val="0066BA" w:themeColor="background2"/>
      <w:spacing w:val="8"/>
      <w:sz w:val="28"/>
      <w:szCs w:val="26"/>
    </w:rPr>
  </w:style>
  <w:style w:type="character" w:customStyle="1" w:styleId="Heading3Char">
    <w:name w:val="Heading 3 Char"/>
    <w:basedOn w:val="DefaultParagraphFont"/>
    <w:link w:val="Heading3"/>
    <w:uiPriority w:val="9"/>
    <w:rsid w:val="00FE1B6A"/>
    <w:rPr>
      <w:rFonts w:ascii="Source Sans Pro SemiBold" w:eastAsiaTheme="majorEastAsia" w:hAnsi="Source Sans Pro SemiBold" w:cstheme="majorBidi"/>
      <w:spacing w:val="8"/>
      <w:sz w:val="28"/>
    </w:rPr>
  </w:style>
  <w:style w:type="character" w:customStyle="1" w:styleId="Heading4Char">
    <w:name w:val="Heading 4 Char"/>
    <w:basedOn w:val="DefaultParagraphFont"/>
    <w:link w:val="Heading4"/>
    <w:uiPriority w:val="9"/>
    <w:rsid w:val="00FE1B6A"/>
    <w:rPr>
      <w:rFonts w:ascii="Source Sans Pro SemiBold" w:eastAsiaTheme="majorEastAsia" w:hAnsi="Source Sans Pro SemiBold" w:cstheme="majorBidi"/>
      <w:iCs/>
      <w:color w:val="002F6D" w:themeColor="text1"/>
      <w:spacing w:val="8"/>
      <w:sz w:val="26"/>
    </w:rPr>
  </w:style>
  <w:style w:type="character" w:customStyle="1" w:styleId="Heading5Char">
    <w:name w:val="Heading 5 Char"/>
    <w:basedOn w:val="DefaultParagraphFont"/>
    <w:link w:val="Heading5"/>
    <w:uiPriority w:val="9"/>
    <w:rsid w:val="00FE1B6A"/>
    <w:rPr>
      <w:rFonts w:ascii="Source Sans Pro SemiBold" w:eastAsiaTheme="majorEastAsia" w:hAnsi="Source Sans Pro SemiBold" w:cstheme="majorBidi"/>
      <w:color w:val="0066BA" w:themeColor="background2"/>
      <w:spacing w:val="8"/>
      <w:sz w:val="26"/>
    </w:rPr>
  </w:style>
  <w:style w:type="paragraph" w:styleId="Header">
    <w:name w:val="header"/>
    <w:basedOn w:val="Normal"/>
    <w:link w:val="HeaderChar"/>
    <w:uiPriority w:val="99"/>
    <w:unhideWhenUsed/>
    <w:rsid w:val="00520B82"/>
    <w:pPr>
      <w:tabs>
        <w:tab w:val="center" w:pos="4680"/>
        <w:tab w:val="right" w:pos="9360"/>
      </w:tabs>
      <w:spacing w:after="0"/>
    </w:pPr>
  </w:style>
  <w:style w:type="character" w:customStyle="1" w:styleId="HeaderChar">
    <w:name w:val="Header Char"/>
    <w:basedOn w:val="DefaultParagraphFont"/>
    <w:link w:val="Header"/>
    <w:uiPriority w:val="99"/>
    <w:rsid w:val="00520B82"/>
    <w:rPr>
      <w:rFonts w:eastAsia="Calibri"/>
      <w:color w:val="555759" w:themeColor="text2"/>
      <w:spacing w:val="4"/>
    </w:rPr>
  </w:style>
  <w:style w:type="paragraph" w:styleId="Footer">
    <w:name w:val="footer"/>
    <w:basedOn w:val="Normal"/>
    <w:link w:val="FooterChar"/>
    <w:uiPriority w:val="99"/>
    <w:unhideWhenUsed/>
    <w:qFormat/>
    <w:rsid w:val="00445983"/>
    <w:pPr>
      <w:spacing w:after="0"/>
    </w:pPr>
    <w:rPr>
      <w:b/>
    </w:rPr>
  </w:style>
  <w:style w:type="character" w:customStyle="1" w:styleId="FooterChar">
    <w:name w:val="Footer Char"/>
    <w:basedOn w:val="DefaultParagraphFont"/>
    <w:link w:val="Footer"/>
    <w:uiPriority w:val="99"/>
    <w:rsid w:val="00445983"/>
    <w:rPr>
      <w:b/>
    </w:rPr>
  </w:style>
  <w:style w:type="paragraph" w:styleId="ListBullet">
    <w:name w:val="List Bullet"/>
    <w:basedOn w:val="Normal"/>
    <w:uiPriority w:val="10"/>
    <w:unhideWhenUsed/>
    <w:qFormat/>
    <w:rsid w:val="005B1E3A"/>
    <w:pPr>
      <w:numPr>
        <w:numId w:val="2"/>
      </w:numPr>
      <w:spacing w:before="60" w:line="264" w:lineRule="auto"/>
    </w:pPr>
  </w:style>
  <w:style w:type="paragraph" w:styleId="ListNumber">
    <w:name w:val="List Number"/>
    <w:basedOn w:val="Normal"/>
    <w:uiPriority w:val="10"/>
    <w:unhideWhenUsed/>
    <w:qFormat/>
    <w:rsid w:val="0039003D"/>
    <w:pPr>
      <w:numPr>
        <w:numId w:val="1"/>
      </w:numPr>
      <w:spacing w:before="60" w:line="264" w:lineRule="auto"/>
    </w:pPr>
  </w:style>
  <w:style w:type="paragraph" w:styleId="Title">
    <w:name w:val="Title"/>
    <w:aliases w:val="Report Title"/>
    <w:basedOn w:val="Heading1"/>
    <w:next w:val="Normal"/>
    <w:link w:val="TitleChar"/>
    <w:uiPriority w:val="1"/>
    <w:qFormat/>
    <w:rsid w:val="00520B82"/>
    <w:pPr>
      <w:pBdr>
        <w:bottom w:val="single" w:sz="8" w:space="1" w:color="0066BA" w:themeColor="background2"/>
      </w:pBdr>
      <w:spacing w:before="0" w:after="240"/>
      <w:contextualSpacing/>
      <w:jc w:val="center"/>
    </w:pPr>
    <w:rPr>
      <w:rFonts w:ascii="Source Sans Pro" w:hAnsi="Source Sans Pro"/>
      <w:b w:val="0"/>
      <w:color w:val="555759" w:themeColor="text2"/>
      <w:sz w:val="48"/>
      <w:szCs w:val="56"/>
    </w:rPr>
  </w:style>
  <w:style w:type="character" w:customStyle="1" w:styleId="TitleChar">
    <w:name w:val="Title Char"/>
    <w:aliases w:val="Report Title Char"/>
    <w:basedOn w:val="DefaultParagraphFont"/>
    <w:link w:val="Title"/>
    <w:uiPriority w:val="1"/>
    <w:rsid w:val="00520B82"/>
    <w:rPr>
      <w:rFonts w:eastAsiaTheme="majorEastAsia" w:cstheme="majorBidi"/>
      <w:caps/>
      <w:color w:val="555759" w:themeColor="text2"/>
      <w:spacing w:val="10"/>
      <w:kern w:val="32"/>
      <w:sz w:val="48"/>
      <w:szCs w:val="56"/>
    </w:rPr>
  </w:style>
  <w:style w:type="character" w:styleId="Hyperlink">
    <w:name w:val="Hyperlink"/>
    <w:basedOn w:val="DefaultParagraphFont"/>
    <w:uiPriority w:val="99"/>
    <w:unhideWhenUsed/>
    <w:qFormat/>
    <w:rsid w:val="00520B82"/>
    <w:rPr>
      <w:rFonts w:asciiTheme="minorHAnsi" w:hAnsiTheme="minorHAnsi"/>
      <w:color w:val="0066BA" w:themeColor="background2"/>
      <w:sz w:val="24"/>
      <w:u w:val="single" w:color="0066BA" w:themeColor="background2"/>
      <w:bdr w:val="none" w:sz="0" w:space="0" w:color="auto"/>
    </w:rPr>
  </w:style>
  <w:style w:type="paragraph" w:styleId="BalloonText">
    <w:name w:val="Balloon Text"/>
    <w:basedOn w:val="Normal"/>
    <w:link w:val="BalloonTextChar"/>
    <w:uiPriority w:val="99"/>
    <w:semiHidden/>
    <w:unhideWhenUsed/>
    <w:rsid w:val="00A9363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3A"/>
    <w:rPr>
      <w:rFonts w:ascii="Segoe UI" w:hAnsi="Segoe UI" w:cs="Segoe UI"/>
      <w:sz w:val="18"/>
      <w:szCs w:val="18"/>
    </w:rPr>
  </w:style>
  <w:style w:type="table" w:styleId="TableGrid">
    <w:name w:val="Table Grid"/>
    <w:basedOn w:val="TableNormal"/>
    <w:uiPriority w:val="39"/>
    <w:rsid w:val="00A366EA"/>
    <w:pPr>
      <w:spacing w:before="80" w:after="80" w:line="240" w:lineRule="auto"/>
    </w:pPr>
    <w:rPr>
      <w:color w:val="4D4D4F"/>
    </w:rPr>
    <w:tblPr>
      <w:tblBorders>
        <w:top w:val="single" w:sz="8" w:space="0" w:color="555759"/>
        <w:left w:val="single" w:sz="8" w:space="0" w:color="555759"/>
        <w:bottom w:val="single" w:sz="8" w:space="0" w:color="555759"/>
        <w:right w:val="single" w:sz="8" w:space="0" w:color="555759"/>
        <w:insideH w:val="single" w:sz="8" w:space="0" w:color="555759"/>
        <w:insideV w:val="single" w:sz="8" w:space="0" w:color="555759"/>
      </w:tblBorders>
    </w:tblPr>
    <w:tcPr>
      <w:vAlign w:val="center"/>
    </w:tcPr>
  </w:style>
  <w:style w:type="character" w:styleId="PlaceholderText">
    <w:name w:val="Placeholder Text"/>
    <w:basedOn w:val="DefaultParagraphFont"/>
    <w:uiPriority w:val="99"/>
    <w:semiHidden/>
    <w:rsid w:val="00A9363A"/>
    <w:rPr>
      <w:color w:val="808080"/>
    </w:rPr>
  </w:style>
  <w:style w:type="paragraph" w:styleId="Quote">
    <w:name w:val="Quote"/>
    <w:basedOn w:val="Normal"/>
    <w:next w:val="Normal"/>
    <w:link w:val="QuoteChar"/>
    <w:uiPriority w:val="11"/>
    <w:qFormat/>
    <w:rsid w:val="00520B82"/>
    <w:pPr>
      <w:spacing w:before="360" w:after="360"/>
      <w:jc w:val="center"/>
    </w:pPr>
    <w:rPr>
      <w:rFonts w:ascii="Source Sans Pro SemiBold" w:hAnsi="Source Sans Pro SemiBold"/>
      <w:i/>
      <w:iCs/>
      <w:color w:val="002F6D"/>
      <w:sz w:val="28"/>
    </w:rPr>
  </w:style>
  <w:style w:type="character" w:customStyle="1" w:styleId="QuoteChar">
    <w:name w:val="Quote Char"/>
    <w:basedOn w:val="DefaultParagraphFont"/>
    <w:link w:val="Quote"/>
    <w:uiPriority w:val="11"/>
    <w:rsid w:val="00520B82"/>
    <w:rPr>
      <w:rFonts w:ascii="Source Sans Pro SemiBold" w:eastAsia="Calibri" w:hAnsi="Source Sans Pro SemiBold"/>
      <w:i/>
      <w:iCs/>
      <w:color w:val="002F6D"/>
      <w:spacing w:val="4"/>
      <w:sz w:val="28"/>
    </w:rPr>
  </w:style>
  <w:style w:type="paragraph" w:styleId="IntenseQuote">
    <w:name w:val="Intense Quote"/>
    <w:basedOn w:val="Normal"/>
    <w:next w:val="Normal"/>
    <w:link w:val="IntenseQuoteChar"/>
    <w:uiPriority w:val="30"/>
    <w:qFormat/>
    <w:rsid w:val="00520B82"/>
    <w:pPr>
      <w:pBdr>
        <w:top w:val="single" w:sz="8" w:space="10" w:color="EDEDEE" w:themeColor="text2" w:themeTint="1A"/>
        <w:bottom w:val="single" w:sz="8" w:space="10" w:color="EDEDEE" w:themeColor="text2" w:themeTint="1A"/>
      </w:pBdr>
      <w:spacing w:before="360" w:after="360"/>
      <w:ind w:left="864" w:right="864"/>
      <w:jc w:val="center"/>
    </w:pPr>
    <w:rPr>
      <w:rFonts w:eastAsia="Times New Roman" w:cs="Times New Roman"/>
      <w:iCs/>
    </w:rPr>
  </w:style>
  <w:style w:type="character" w:customStyle="1" w:styleId="IntenseQuoteChar">
    <w:name w:val="Intense Quote Char"/>
    <w:basedOn w:val="DefaultParagraphFont"/>
    <w:link w:val="IntenseQuote"/>
    <w:uiPriority w:val="30"/>
    <w:rsid w:val="00520B82"/>
    <w:rPr>
      <w:rFonts w:eastAsia="Times New Roman" w:cs="Times New Roman"/>
      <w:iCs/>
      <w:color w:val="555759" w:themeColor="text2"/>
      <w:spacing w:val="4"/>
    </w:rPr>
  </w:style>
  <w:style w:type="table" w:customStyle="1" w:styleId="CCCCOTableStyle">
    <w:name w:val="CCCCO Table Style"/>
    <w:basedOn w:val="TableNormal"/>
    <w:uiPriority w:val="99"/>
    <w:rsid w:val="005D76C9"/>
    <w:pPr>
      <w:suppressAutoHyphens/>
      <w:spacing w:after="0" w:line="240" w:lineRule="auto"/>
    </w:pPr>
    <w:rPr>
      <w:rFonts w:ascii="Arial" w:hAnsi="Arial"/>
      <w:szCs w:val="20"/>
    </w:rPr>
    <w:tblPr>
      <w:tblStyleRowBandSize w:val="1"/>
      <w:jc w:val="center"/>
      <w:tblBorders>
        <w:top w:val="single" w:sz="8" w:space="0" w:color="838385"/>
        <w:left w:val="single" w:sz="8" w:space="0" w:color="838385"/>
        <w:bottom w:val="single" w:sz="8" w:space="0" w:color="838385"/>
        <w:right w:val="single" w:sz="8" w:space="0" w:color="838385"/>
        <w:insideH w:val="single" w:sz="8" w:space="0" w:color="838385"/>
        <w:insideV w:val="single" w:sz="8" w:space="0" w:color="838385"/>
      </w:tblBorders>
      <w:tblCellMar>
        <w:top w:w="115" w:type="dxa"/>
        <w:left w:w="115" w:type="dxa"/>
        <w:bottom w:w="115" w:type="dxa"/>
        <w:right w:w="115" w:type="dxa"/>
      </w:tblCellMar>
    </w:tblPr>
    <w:trPr>
      <w:cantSplit/>
      <w:jc w:val="center"/>
    </w:trPr>
    <w:tcPr>
      <w:tcMar>
        <w:top w:w="0" w:type="dxa"/>
        <w:left w:w="0" w:type="dxa"/>
        <w:bottom w:w="0" w:type="dxa"/>
        <w:right w:w="0" w:type="dxa"/>
      </w:tcMar>
      <w:vAlign w:val="center"/>
    </w:tcPr>
    <w:tblStylePr w:type="firstRow">
      <w:rPr>
        <w:rFonts w:ascii="Arial" w:hAnsi="Arial"/>
        <w:b/>
        <w:color w:val="FFFFFF"/>
      </w:rPr>
      <w:tblPr/>
      <w:tcPr>
        <w:shd w:val="clear" w:color="auto" w:fill="223266"/>
      </w:tcPr>
    </w:tblStylePr>
    <w:tblStylePr w:type="lastRow">
      <w:rPr>
        <w:b/>
      </w:rPr>
      <w:tblPr/>
      <w:tcPr>
        <w:shd w:val="clear" w:color="auto" w:fill="C7E1F5"/>
      </w:tcPr>
    </w:tblStylePr>
    <w:tblStylePr w:type="band2Horz">
      <w:tblPr/>
      <w:tcPr>
        <w:shd w:val="clear" w:color="auto" w:fill="E7F0FA"/>
      </w:tcPr>
    </w:tblStylePr>
  </w:style>
  <w:style w:type="character" w:customStyle="1" w:styleId="FootnoteTextChar">
    <w:name w:val="Footnote Text Char"/>
    <w:basedOn w:val="DefaultParagraphFont"/>
    <w:link w:val="FootnoteText"/>
    <w:uiPriority w:val="99"/>
    <w:rsid w:val="00520B82"/>
    <w:rPr>
      <w:rFonts w:eastAsia="Calibri"/>
      <w:color w:val="555759" w:themeColor="text2"/>
      <w:spacing w:val="4"/>
      <w:sz w:val="18"/>
      <w:szCs w:val="20"/>
    </w:rPr>
  </w:style>
  <w:style w:type="character" w:styleId="FootnoteReference">
    <w:name w:val="footnote reference"/>
    <w:basedOn w:val="FootnoteTextChar"/>
    <w:uiPriority w:val="99"/>
    <w:locked/>
    <w:rsid w:val="00520B82"/>
    <w:rPr>
      <w:rFonts w:ascii="Source Sans Pro" w:eastAsia="Calibri" w:hAnsi="Source Sans Pro"/>
      <w:caps w:val="0"/>
      <w:smallCaps w:val="0"/>
      <w:strike w:val="0"/>
      <w:dstrike w:val="0"/>
      <w:vanish w:val="0"/>
      <w:color w:val="555759"/>
      <w:spacing w:val="4"/>
      <w:position w:val="6"/>
      <w:sz w:val="18"/>
      <w:szCs w:val="20"/>
      <w:u w:val="none"/>
      <w:vertAlign w:val="superscript"/>
    </w:rPr>
  </w:style>
  <w:style w:type="paragraph" w:styleId="TOCHeading">
    <w:name w:val="TOC Heading"/>
    <w:basedOn w:val="Heading1"/>
    <w:next w:val="Normal"/>
    <w:uiPriority w:val="39"/>
    <w:unhideWhenUsed/>
    <w:qFormat/>
    <w:locked/>
    <w:rsid w:val="00520B82"/>
    <w:pPr>
      <w:spacing w:before="0" w:after="160"/>
      <w:outlineLvl w:val="9"/>
    </w:pPr>
    <w:rPr>
      <w:color w:val="002F6D" w:themeColor="text1"/>
      <w:spacing w:val="15"/>
    </w:rPr>
  </w:style>
  <w:style w:type="paragraph" w:styleId="TOC1">
    <w:name w:val="toc 1"/>
    <w:basedOn w:val="Normal"/>
    <w:next w:val="Normal"/>
    <w:autoRedefine/>
    <w:uiPriority w:val="39"/>
    <w:unhideWhenUsed/>
    <w:locked/>
    <w:rsid w:val="00304F9D"/>
    <w:rPr>
      <w:caps/>
    </w:rPr>
  </w:style>
  <w:style w:type="paragraph" w:styleId="TOC2">
    <w:name w:val="toc 2"/>
    <w:basedOn w:val="Normal"/>
    <w:next w:val="Normal"/>
    <w:autoRedefine/>
    <w:uiPriority w:val="39"/>
    <w:unhideWhenUsed/>
    <w:locked/>
    <w:rsid w:val="00B10A5F"/>
    <w:pPr>
      <w:tabs>
        <w:tab w:val="right" w:leader="dot" w:pos="9350"/>
      </w:tabs>
      <w:ind w:left="245"/>
    </w:pPr>
  </w:style>
  <w:style w:type="paragraph" w:styleId="TOC3">
    <w:name w:val="toc 3"/>
    <w:basedOn w:val="Normal"/>
    <w:next w:val="Normal"/>
    <w:autoRedefine/>
    <w:uiPriority w:val="39"/>
    <w:unhideWhenUsed/>
    <w:locked/>
    <w:rsid w:val="00520B82"/>
    <w:pPr>
      <w:spacing w:after="240"/>
      <w:ind w:left="475"/>
    </w:pPr>
  </w:style>
  <w:style w:type="paragraph" w:customStyle="1" w:styleId="TableTitle">
    <w:name w:val="Table Title"/>
    <w:basedOn w:val="Normal"/>
    <w:link w:val="TableTitleChar"/>
    <w:qFormat/>
    <w:rsid w:val="00520B82"/>
    <w:pPr>
      <w:keepNext/>
      <w:keepLines/>
    </w:pPr>
    <w:rPr>
      <w:b/>
      <w:sz w:val="28"/>
      <w:szCs w:val="28"/>
    </w:rPr>
  </w:style>
  <w:style w:type="character" w:customStyle="1" w:styleId="TableTitleChar">
    <w:name w:val="Table Title Char"/>
    <w:basedOn w:val="DefaultParagraphFont"/>
    <w:link w:val="TableTitle"/>
    <w:rsid w:val="00520B82"/>
    <w:rPr>
      <w:rFonts w:eastAsia="Calibri"/>
      <w:b/>
      <w:color w:val="555759" w:themeColor="text2"/>
      <w:spacing w:val="4"/>
      <w:sz w:val="28"/>
      <w:szCs w:val="28"/>
    </w:rPr>
  </w:style>
  <w:style w:type="paragraph" w:customStyle="1" w:styleId="TableData">
    <w:name w:val="Table Data"/>
    <w:basedOn w:val="Normal"/>
    <w:qFormat/>
    <w:rsid w:val="003D28D9"/>
    <w:pPr>
      <w:suppressAutoHyphens w:val="0"/>
      <w:spacing w:before="120"/>
      <w:ind w:left="144"/>
    </w:pPr>
    <w:rPr>
      <w:szCs w:val="20"/>
    </w:rPr>
  </w:style>
  <w:style w:type="paragraph" w:styleId="ListParagraph">
    <w:name w:val="List Paragraph"/>
    <w:basedOn w:val="Normal"/>
    <w:uiPriority w:val="34"/>
    <w:unhideWhenUsed/>
    <w:qFormat/>
    <w:locked/>
    <w:rsid w:val="003D2412"/>
    <w:pPr>
      <w:ind w:left="720"/>
      <w:contextualSpacing/>
    </w:pPr>
  </w:style>
  <w:style w:type="character" w:styleId="CommentReference">
    <w:name w:val="annotation reference"/>
    <w:basedOn w:val="DefaultParagraphFont"/>
    <w:uiPriority w:val="99"/>
    <w:semiHidden/>
    <w:unhideWhenUsed/>
    <w:locked/>
    <w:rsid w:val="003F190C"/>
    <w:rPr>
      <w:sz w:val="16"/>
      <w:szCs w:val="16"/>
    </w:rPr>
  </w:style>
  <w:style w:type="paragraph" w:styleId="CommentText">
    <w:name w:val="annotation text"/>
    <w:basedOn w:val="Normal"/>
    <w:link w:val="CommentTextChar"/>
    <w:uiPriority w:val="99"/>
    <w:semiHidden/>
    <w:unhideWhenUsed/>
    <w:locked/>
    <w:rsid w:val="003F190C"/>
    <w:rPr>
      <w:sz w:val="20"/>
      <w:szCs w:val="20"/>
    </w:rPr>
  </w:style>
  <w:style w:type="character" w:customStyle="1" w:styleId="CommentTextChar">
    <w:name w:val="Comment Text Char"/>
    <w:basedOn w:val="DefaultParagraphFont"/>
    <w:link w:val="CommentText"/>
    <w:uiPriority w:val="99"/>
    <w:semiHidden/>
    <w:rsid w:val="003F190C"/>
    <w:rPr>
      <w:rFonts w:ascii="Source Sans Pro" w:eastAsia="Calibri" w:hAnsi="Source Sans Pro"/>
      <w:spacing w:val="4"/>
      <w:sz w:val="20"/>
      <w:szCs w:val="20"/>
    </w:rPr>
  </w:style>
  <w:style w:type="paragraph" w:styleId="CommentSubject">
    <w:name w:val="annotation subject"/>
    <w:basedOn w:val="CommentText"/>
    <w:next w:val="CommentText"/>
    <w:link w:val="CommentSubjectChar"/>
    <w:uiPriority w:val="99"/>
    <w:semiHidden/>
    <w:unhideWhenUsed/>
    <w:locked/>
    <w:rsid w:val="003F190C"/>
    <w:rPr>
      <w:b/>
      <w:bCs/>
    </w:rPr>
  </w:style>
  <w:style w:type="character" w:customStyle="1" w:styleId="CommentSubjectChar">
    <w:name w:val="Comment Subject Char"/>
    <w:basedOn w:val="CommentTextChar"/>
    <w:link w:val="CommentSubject"/>
    <w:uiPriority w:val="99"/>
    <w:semiHidden/>
    <w:rsid w:val="003F190C"/>
    <w:rPr>
      <w:rFonts w:ascii="Source Sans Pro" w:eastAsia="Calibri" w:hAnsi="Source Sans Pro"/>
      <w:b/>
      <w:bCs/>
      <w:spacing w:val="4"/>
      <w:sz w:val="20"/>
      <w:szCs w:val="20"/>
    </w:rPr>
  </w:style>
  <w:style w:type="paragraph" w:styleId="Revision">
    <w:name w:val="Revision"/>
    <w:hidden/>
    <w:uiPriority w:val="99"/>
    <w:semiHidden/>
    <w:rsid w:val="00D542CF"/>
    <w:pPr>
      <w:spacing w:after="0" w:line="240" w:lineRule="auto"/>
    </w:pPr>
    <w:rPr>
      <w:rFonts w:ascii="Source Sans Pro" w:eastAsia="Calibri" w:hAnsi="Source Sans Pro"/>
      <w:spacing w:val="4"/>
    </w:rPr>
  </w:style>
  <w:style w:type="character" w:styleId="UnresolvedMention">
    <w:name w:val="Unresolved Mention"/>
    <w:basedOn w:val="DefaultParagraphFont"/>
    <w:uiPriority w:val="99"/>
    <w:semiHidden/>
    <w:unhideWhenUsed/>
    <w:rsid w:val="00B55DF4"/>
    <w:rPr>
      <w:color w:val="605E5C"/>
      <w:shd w:val="clear" w:color="auto" w:fill="E1DFDD"/>
    </w:rPr>
  </w:style>
  <w:style w:type="character" w:styleId="FollowedHyperlink">
    <w:name w:val="FollowedHyperlink"/>
    <w:basedOn w:val="DefaultParagraphFont"/>
    <w:uiPriority w:val="99"/>
    <w:semiHidden/>
    <w:unhideWhenUsed/>
    <w:locked/>
    <w:rsid w:val="00CC5694"/>
    <w:rPr>
      <w:color w:val="002F6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data.cccco.edu/ded/cb/cb25.pdf" TargetMode="External"/><Relationship Id="rId13" Type="http://schemas.openxmlformats.org/officeDocument/2006/relationships/hyperlink" Target="https://webdata.cccco.edu/ded/cb/cb04.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ebdata.cccco.edu/ded/xb/xb00.pdf" TargetMode="External"/><Relationship Id="rId17" Type="http://schemas.openxmlformats.org/officeDocument/2006/relationships/hyperlink" Target="https://webdata.cccco.edu/ded/sxd/sxd2.pdf" TargetMode="External"/><Relationship Id="rId2" Type="http://schemas.openxmlformats.org/officeDocument/2006/relationships/numbering" Target="numbering.xml"/><Relationship Id="rId16" Type="http://schemas.openxmlformats.org/officeDocument/2006/relationships/hyperlink" Target="https://webdata.cccco.edu/ded/sxd/sxd2.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bdata.cccco.edu/ded/cb/cb00.pdf" TargetMode="External"/><Relationship Id="rId5" Type="http://schemas.openxmlformats.org/officeDocument/2006/relationships/webSettings" Target="webSettings.xml"/><Relationship Id="rId15" Type="http://schemas.openxmlformats.org/officeDocument/2006/relationships/hyperlink" Target="https://webdata.cccco.edu/ded/sxd/sxd2.pdf" TargetMode="External"/><Relationship Id="rId10" Type="http://schemas.openxmlformats.org/officeDocument/2006/relationships/hyperlink" Target="https://webdata.cccco.edu/ded/gi/gi03.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bdata.cccco.edu/ded/cb/cb26.pdf" TargetMode="External"/><Relationship Id="rId14" Type="http://schemas.openxmlformats.org/officeDocument/2006/relationships/hyperlink" Target="https://webdata.cccco.edu/ded/gi/gi0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CCC_WordTheme_20180424">
  <a:themeElements>
    <a:clrScheme name="California Community Colleges">
      <a:dk1>
        <a:srgbClr val="002F6D"/>
      </a:dk1>
      <a:lt1>
        <a:srgbClr val="FFB600"/>
      </a:lt1>
      <a:dk2>
        <a:srgbClr val="555759"/>
      </a:dk2>
      <a:lt2>
        <a:srgbClr val="0066BA"/>
      </a:lt2>
      <a:accent1>
        <a:srgbClr val="D18A00"/>
      </a:accent1>
      <a:accent2>
        <a:srgbClr val="F6DC6B"/>
      </a:accent2>
      <a:accent3>
        <a:srgbClr val="717271"/>
      </a:accent3>
      <a:accent4>
        <a:srgbClr val="002755"/>
      </a:accent4>
      <a:accent5>
        <a:srgbClr val="0066BA"/>
      </a:accent5>
      <a:accent6>
        <a:srgbClr val="40B4E5"/>
      </a:accent6>
      <a:hlink>
        <a:srgbClr val="0066BA"/>
      </a:hlink>
      <a:folHlink>
        <a:srgbClr val="002F6D"/>
      </a:folHlink>
    </a:clrScheme>
    <a:fontScheme name="California Community Colleges">
      <a:majorFont>
        <a:latin typeface="Crimson"/>
        <a:ea typeface=""/>
        <a:cs typeface=""/>
      </a:majorFont>
      <a:minorFont>
        <a:latin typeface="Source Sans Pro"/>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3E386-E70A-4EE1-B34D-72CBCAC37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5</Pages>
  <Words>1902</Words>
  <Characters>10846</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New Metrics for Completed Transfer Level Math and English</vt:lpstr>
      <vt:lpstr>    First-Time Cohort Definition</vt:lpstr>
      <vt:lpstr>    Gender</vt:lpstr>
      <vt:lpstr>    Age Groups</vt:lpstr>
      <vt:lpstr>    Course Success Rate</vt:lpstr>
      <vt:lpstr>    Completed Transfer Level Math and English (aligned with SCFF)</vt:lpstr>
      <vt:lpstr>    Completed Transfer Level Math</vt:lpstr>
      <vt:lpstr>    Completed Transfer Level English</vt:lpstr>
      <vt:lpstr>    Retained Fall to Spring</vt:lpstr>
      <vt:lpstr>    Successfully Completed Unit Thresholds in the Fall</vt:lpstr>
      <vt:lpstr>    Successfully Completed Unit Thresholds in the Selected Year</vt:lpstr>
    </vt:vector>
  </TitlesOfParts>
  <Company>California Community Colleges Chancellor's Office</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Beltramo</cp:lastModifiedBy>
  <cp:revision>22</cp:revision>
  <dcterms:created xsi:type="dcterms:W3CDTF">2021-11-02T23:33:00Z</dcterms:created>
  <dcterms:modified xsi:type="dcterms:W3CDTF">2021-11-17T20:25:00Z</dcterms:modified>
</cp:coreProperties>
</file>